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15469B1D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</w:t>
      </w:r>
      <w:r w:rsidR="00DC719D">
        <w:t>7</w:t>
      </w:r>
      <w:r>
        <w:tab/>
      </w:r>
      <w:r>
        <w:rPr>
          <w:szCs w:val="24"/>
        </w:rPr>
        <w:t>R4-18</w:t>
      </w:r>
      <w:r w:rsidR="00C62A04">
        <w:rPr>
          <w:szCs w:val="24"/>
        </w:rPr>
        <w:t>0</w:t>
      </w:r>
      <w:r w:rsidR="006A482E">
        <w:rPr>
          <w:szCs w:val="24"/>
        </w:rPr>
        <w:t>6758</w:t>
      </w:r>
    </w:p>
    <w:p w14:paraId="5E5109E4" w14:textId="124B7A26" w:rsidR="008A22CF" w:rsidRPr="00437BE8" w:rsidRDefault="00DC719D" w:rsidP="008A22CF">
      <w:pPr>
        <w:pStyle w:val="3GPPHeader"/>
      </w:pPr>
      <w:r>
        <w:t>Busan</w:t>
      </w:r>
      <w:r w:rsidR="00585804">
        <w:t xml:space="preserve">, </w:t>
      </w:r>
      <w:r>
        <w:t>Korea (Republic of)</w:t>
      </w:r>
      <w:r w:rsidR="00585804">
        <w:t xml:space="preserve">, </w:t>
      </w:r>
      <w:r>
        <w:t>21</w:t>
      </w:r>
      <w:r w:rsidR="00585804">
        <w:t xml:space="preserve"> – 2</w:t>
      </w:r>
      <w:r>
        <w:t>5</w:t>
      </w:r>
      <w:r w:rsidR="00585804">
        <w:t xml:space="preserve"> </w:t>
      </w:r>
      <w:r>
        <w:t>May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088CFA13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9A1B0A" w:rsidRPr="00985C26">
        <w:rPr>
          <w:sz w:val="22"/>
        </w:rPr>
        <w:t>6.</w:t>
      </w:r>
      <w:r w:rsidR="00737739" w:rsidRPr="00985C26">
        <w:rPr>
          <w:sz w:val="22"/>
        </w:rPr>
        <w:t>20.6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0DE95D02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bookmarkStart w:id="3" w:name="_Hlk510787542"/>
      <w:r w:rsidR="00BD0EDC" w:rsidRPr="00BD0EDC">
        <w:rPr>
          <w:sz w:val="22"/>
        </w:rPr>
        <w:t>Discussion on UE demodulation requirements for eFeMTC</w:t>
      </w:r>
      <w:bookmarkEnd w:id="3"/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44A658B1" w14:textId="483BA15F" w:rsidR="00737739" w:rsidRDefault="00737739" w:rsidP="0063100D">
      <w:bookmarkStart w:id="4" w:name="_Hlk510787562"/>
      <w:bookmarkStart w:id="5" w:name="_Hlk510623496"/>
      <w:r>
        <w:t xml:space="preserve">RAN4#86bis agreed with the way forward on eFeMTC UE demodulation and CSI reporting requirements </w:t>
      </w:r>
      <w:r>
        <w:fldChar w:fldCharType="begin"/>
      </w:r>
      <w:r>
        <w:instrText xml:space="preserve"> REF _Ref513471043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739" w14:paraId="4F748C4B" w14:textId="77777777" w:rsidTr="00737739">
        <w:tc>
          <w:tcPr>
            <w:tcW w:w="9629" w:type="dxa"/>
          </w:tcPr>
          <w:p w14:paraId="309E2B2B" w14:textId="77777777" w:rsidR="00737739" w:rsidRDefault="00737739" w:rsidP="00737739">
            <w:pPr>
              <w:pStyle w:val="ListParagraph"/>
              <w:numPr>
                <w:ilvl w:val="0"/>
                <w:numId w:val="20"/>
              </w:numPr>
            </w:pPr>
            <w:r w:rsidRPr="00737739">
              <w:t>No additional MPDCCH demodulation performance requirement is needed</w:t>
            </w:r>
          </w:p>
          <w:p w14:paraId="4DE0AD96" w14:textId="77777777" w:rsidR="00737739" w:rsidRDefault="00737739" w:rsidP="00737739">
            <w:pPr>
              <w:pStyle w:val="ListParagraph"/>
              <w:numPr>
                <w:ilvl w:val="0"/>
                <w:numId w:val="20"/>
              </w:numPr>
            </w:pPr>
            <w:r w:rsidRPr="00737739">
              <w:t>Introduce demodulation performance requirements to verify the support of DL 64QAM</w:t>
            </w:r>
          </w:p>
          <w:p w14:paraId="7B01DE53" w14:textId="77777777" w:rsidR="00737739" w:rsidRDefault="00737739" w:rsidP="00737739">
            <w:pPr>
              <w:pStyle w:val="ListParagraph"/>
              <w:numPr>
                <w:ilvl w:val="0"/>
                <w:numId w:val="20"/>
              </w:numPr>
            </w:pPr>
            <w:r w:rsidRPr="00737739">
              <w:t>Introduce CQI reporting requirements under 64QAM-enabled CQI table</w:t>
            </w:r>
          </w:p>
          <w:p w14:paraId="07BFBC31" w14:textId="77777777" w:rsidR="00737739" w:rsidRDefault="00737739" w:rsidP="00737739">
            <w:pPr>
              <w:pStyle w:val="ListParagraph"/>
              <w:numPr>
                <w:ilvl w:val="0"/>
                <w:numId w:val="20"/>
              </w:numPr>
            </w:pPr>
            <w:r w:rsidRPr="00737739">
              <w:t>Introduce demodulation requirements under CRS muting</w:t>
            </w:r>
          </w:p>
          <w:p w14:paraId="72172C65" w14:textId="77777777" w:rsidR="00737739" w:rsidRDefault="00737739" w:rsidP="00737739">
            <w:pPr>
              <w:pStyle w:val="ListParagraph"/>
              <w:numPr>
                <w:ilvl w:val="0"/>
                <w:numId w:val="20"/>
              </w:numPr>
            </w:pPr>
            <w:r w:rsidRPr="00737739">
              <w:t>Introduce demodulation requirements for CE mode A UE under Doppler frequency</w:t>
            </w:r>
          </w:p>
          <w:p w14:paraId="0D88AD7F" w14:textId="594A93D0" w:rsidR="00737739" w:rsidRDefault="00737739" w:rsidP="00737739">
            <w:pPr>
              <w:pStyle w:val="ListParagraph"/>
              <w:numPr>
                <w:ilvl w:val="1"/>
                <w:numId w:val="20"/>
              </w:numPr>
            </w:pPr>
            <w:r w:rsidRPr="00737739">
              <w:t>200 Hz</w:t>
            </w:r>
          </w:p>
        </w:tc>
      </w:tr>
    </w:tbl>
    <w:p w14:paraId="53B9922E" w14:textId="41528BBC" w:rsidR="00737739" w:rsidRDefault="008A7560" w:rsidP="0063100D">
      <w:r>
        <w:t>However we still several open issues:</w:t>
      </w:r>
    </w:p>
    <w:p w14:paraId="20B57A98" w14:textId="6EAE3701" w:rsidR="008A7560" w:rsidRDefault="008A7560" w:rsidP="008A7560">
      <w:pPr>
        <w:pStyle w:val="ListParagraph"/>
        <w:numPr>
          <w:ilvl w:val="0"/>
          <w:numId w:val="22"/>
        </w:numPr>
      </w:pPr>
      <w:r>
        <w:t>Verification of f</w:t>
      </w:r>
      <w:r w:rsidRPr="008A7560">
        <w:t>lexible PDSCH resource allocation</w:t>
      </w:r>
    </w:p>
    <w:p w14:paraId="53D095E7" w14:textId="54552BFC" w:rsidR="008A7560" w:rsidRDefault="008A7560" w:rsidP="008A7560">
      <w:pPr>
        <w:pStyle w:val="ListParagraph"/>
        <w:numPr>
          <w:ilvl w:val="0"/>
          <w:numId w:val="22"/>
        </w:numPr>
      </w:pPr>
      <w:r>
        <w:t>A</w:t>
      </w:r>
      <w:r w:rsidRPr="008A7560">
        <w:t>pplicability for non-BL UE supporting coverage enhancement</w:t>
      </w:r>
    </w:p>
    <w:p w14:paraId="582A1324" w14:textId="77777777" w:rsidR="003B30D9" w:rsidRPr="008A7560" w:rsidRDefault="003B30D9" w:rsidP="008A7560">
      <w:pPr>
        <w:pStyle w:val="ListParagraph"/>
        <w:numPr>
          <w:ilvl w:val="0"/>
          <w:numId w:val="22"/>
        </w:numPr>
      </w:pPr>
      <w:r w:rsidRPr="008A7560">
        <w:t>PBCH demodulation performance requirement</w:t>
      </w:r>
    </w:p>
    <w:p w14:paraId="612D2A1D" w14:textId="1A8AC914" w:rsidR="003B30D9" w:rsidRDefault="003B30D9" w:rsidP="008A7560">
      <w:pPr>
        <w:pStyle w:val="ListParagraph"/>
        <w:numPr>
          <w:ilvl w:val="0"/>
          <w:numId w:val="22"/>
        </w:numPr>
      </w:pPr>
      <w:r w:rsidRPr="008A7560">
        <w:t>Possible combinations to reduce number of test cases</w:t>
      </w:r>
    </w:p>
    <w:p w14:paraId="5950CCA5" w14:textId="214F242C" w:rsidR="008A7560" w:rsidRPr="008A7560" w:rsidRDefault="008A7560" w:rsidP="008A7560">
      <w:r>
        <w:t xml:space="preserve">This contribution discusses mainly open issues.  </w:t>
      </w:r>
    </w:p>
    <w:bookmarkEnd w:id="4"/>
    <w:bookmarkEnd w:id="5"/>
    <w:p w14:paraId="41F1DD83" w14:textId="1068C288" w:rsidR="00A65BA8" w:rsidRDefault="00A65BA8" w:rsidP="00A65BA8">
      <w:pPr>
        <w:pStyle w:val="Heading1"/>
      </w:pPr>
      <w:r>
        <w:t>2</w:t>
      </w:r>
      <w:r>
        <w:tab/>
      </w:r>
      <w:r w:rsidR="00F5631F">
        <w:t>Discussion</w:t>
      </w:r>
    </w:p>
    <w:p w14:paraId="3CEE7B53" w14:textId="77777777" w:rsidR="00AA07B2" w:rsidRDefault="00A65BA8" w:rsidP="00AA07B2">
      <w:pPr>
        <w:pStyle w:val="Heading2"/>
      </w:pPr>
      <w:r>
        <w:t>2.1</w:t>
      </w:r>
      <w:r>
        <w:tab/>
      </w:r>
      <w:r w:rsidR="008A7560">
        <w:t>Verification of flexible PDSCH resource allocation</w:t>
      </w:r>
    </w:p>
    <w:p w14:paraId="0483604F" w14:textId="38FD4E0A" w:rsidR="008A7560" w:rsidRDefault="00AA07B2" w:rsidP="00AA07B2">
      <w:r>
        <w:t xml:space="preserve">The idea of this feature is to implement the flexible starting PDSCH PRB. Although RAN1 has not concluded the discussion, the starting PDSCH PRB would be signaled with DCI </w:t>
      </w:r>
      <w:r w:rsidR="005C6C96">
        <w:t>but</w:t>
      </w:r>
      <w:r>
        <w:t xml:space="preserve"> the maximum UE bandwidth is same as 1.4MHz or 5MH</w:t>
      </w:r>
      <w:r w:rsidR="00EB7271">
        <w:t>z</w:t>
      </w:r>
      <w:r>
        <w:t xml:space="preserve"> according to the UE category. From the UE demodulation point of view, we don’t see any reason to introduce new UE demodulation requirements due to the flexible PDSCH resource allocation. </w:t>
      </w:r>
    </w:p>
    <w:p w14:paraId="0E8DB0E1" w14:textId="336C6A2F" w:rsidR="00AA07B2" w:rsidRPr="00AA07B2" w:rsidRDefault="00AA07B2" w:rsidP="00AA07B2">
      <w:pPr>
        <w:rPr>
          <w:b/>
        </w:rPr>
      </w:pPr>
      <w:r w:rsidRPr="00AA07B2">
        <w:rPr>
          <w:b/>
        </w:rPr>
        <w:t>Proposal 1: No demodulation requirement due to the flexible PDSCH resource allocation.</w:t>
      </w:r>
    </w:p>
    <w:p w14:paraId="34CA0FF0" w14:textId="3690B79E" w:rsidR="008A7560" w:rsidRDefault="008A7560" w:rsidP="008A7560">
      <w:pPr>
        <w:pStyle w:val="Heading2"/>
      </w:pPr>
      <w:r>
        <w:rPr>
          <w:rFonts w:hint="eastAsia"/>
        </w:rPr>
        <w:lastRenderedPageBreak/>
        <w:t>2</w:t>
      </w:r>
      <w:r>
        <w:t>.2</w:t>
      </w:r>
      <w:r>
        <w:tab/>
      </w:r>
      <w:r w:rsidRPr="008A7560">
        <w:t>Applicability for non-BL UE supporting coverage enhancement</w:t>
      </w:r>
    </w:p>
    <w:p w14:paraId="68E0F426" w14:textId="1347E398" w:rsidR="008A7560" w:rsidRDefault="00AA07B2" w:rsidP="008A7560">
      <w:pPr>
        <w:rPr>
          <w:lang w:val="en-GB"/>
        </w:rPr>
      </w:pPr>
      <w:r>
        <w:rPr>
          <w:lang w:val="en-GB"/>
        </w:rPr>
        <w:t>RAN1#</w:t>
      </w:r>
      <w:r w:rsidR="00E13E8D">
        <w:rPr>
          <w:lang w:val="en-GB"/>
        </w:rPr>
        <w:t xml:space="preserve">86bis discussed the applicability of Rel-15 eMTC features to non-BL UEs. </w:t>
      </w:r>
      <w:r w:rsidR="00B60AFB">
        <w:rPr>
          <w:lang w:val="en-GB"/>
        </w:rPr>
        <w:t xml:space="preserve">As WID </w:t>
      </w:r>
      <w:r w:rsidR="0061534C">
        <w:rPr>
          <w:lang w:val="en-GB"/>
        </w:rPr>
        <w:fldChar w:fldCharType="begin"/>
      </w:r>
      <w:r w:rsidR="0061534C">
        <w:rPr>
          <w:lang w:val="en-GB"/>
        </w:rPr>
        <w:instrText xml:space="preserve"> REF _Ref513473954 \r \h </w:instrText>
      </w:r>
      <w:r w:rsidR="0061534C">
        <w:rPr>
          <w:lang w:val="en-GB"/>
        </w:rPr>
      </w:r>
      <w:r w:rsidR="0061534C">
        <w:rPr>
          <w:lang w:val="en-GB"/>
        </w:rPr>
        <w:fldChar w:fldCharType="separate"/>
      </w:r>
      <w:r w:rsidR="0061534C">
        <w:rPr>
          <w:lang w:val="en-GB"/>
        </w:rPr>
        <w:t>[2]</w:t>
      </w:r>
      <w:r w:rsidR="0061534C">
        <w:rPr>
          <w:lang w:val="en-GB"/>
        </w:rPr>
        <w:fldChar w:fldCharType="end"/>
      </w:r>
      <w:r w:rsidR="00B60AFB">
        <w:rPr>
          <w:lang w:val="en-GB"/>
        </w:rPr>
        <w:t xml:space="preserve"> described in the objective, </w:t>
      </w:r>
    </w:p>
    <w:p w14:paraId="23595F2D" w14:textId="7C3FCF98" w:rsidR="0061534C" w:rsidRPr="00EB7271" w:rsidRDefault="0061534C" w:rsidP="0061534C">
      <w:pPr>
        <w:ind w:right="-99"/>
        <w:rPr>
          <w:rFonts w:eastAsia="SimSun"/>
          <w:i/>
        </w:rPr>
      </w:pPr>
      <w:r w:rsidRPr="00EB7271">
        <w:rPr>
          <w:rFonts w:eastAsia="SimSun"/>
          <w:i/>
        </w:rPr>
        <w:t xml:space="preserve">  The objective is to specify the following improvements for machine-type communications for BL/CE UEs.</w:t>
      </w:r>
    </w:p>
    <w:p w14:paraId="47F2EA34" w14:textId="700B3E45" w:rsidR="0061534C" w:rsidRDefault="0061534C" w:rsidP="008A7560">
      <w:r>
        <w:t>According to TS36.212 3.</w:t>
      </w:r>
      <w:r w:rsidR="004F4997">
        <w:t xml:space="preserve">1, BL/CE is </w:t>
      </w:r>
      <w:r w:rsidR="005C6C96">
        <w:t>defined</w:t>
      </w:r>
      <w:r w:rsidR="004F4997"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4997" w14:paraId="68EB7F6D" w14:textId="77777777" w:rsidTr="004F4997">
        <w:tc>
          <w:tcPr>
            <w:tcW w:w="9629" w:type="dxa"/>
          </w:tcPr>
          <w:p w14:paraId="2638B7AF" w14:textId="67769B00" w:rsidR="004F4997" w:rsidRDefault="004F4997" w:rsidP="008A7560">
            <w:pPr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BL/CE</w:t>
            </w:r>
            <w:r w:rsidRPr="00875D3C">
              <w:rPr>
                <w:rFonts w:hint="eastAsia"/>
                <w:b/>
                <w:lang w:eastAsia="zh-CN"/>
              </w:rPr>
              <w:t>:</w:t>
            </w:r>
            <w:r w:rsidRPr="00875D3C">
              <w:rPr>
                <w:rFonts w:hint="eastAsia"/>
                <w:lang w:eastAsia="zh-CN"/>
              </w:rPr>
              <w:t xml:space="preserve"> </w:t>
            </w:r>
            <w:r w:rsidRPr="00875D3C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Bandwidth-reduced Low-c</w:t>
            </w:r>
            <w:r w:rsidRPr="00875D3C">
              <w:rPr>
                <w:lang w:eastAsia="zh-CN"/>
              </w:rPr>
              <w:t>omplexity or Coverage Enhanced (</w:t>
            </w:r>
            <w:r>
              <w:rPr>
                <w:lang w:eastAsia="zh-CN"/>
              </w:rPr>
              <w:t>BL/CE</w:t>
            </w:r>
            <w:r w:rsidRPr="00875D3C">
              <w:rPr>
                <w:lang w:eastAsia="zh-CN"/>
              </w:rPr>
              <w:t>) UE is capable of coverage enhancement mode A</w:t>
            </w:r>
            <w:r w:rsidRPr="00875D3C">
              <w:rPr>
                <w:rFonts w:hint="eastAsia"/>
                <w:lang w:eastAsia="zh-CN"/>
              </w:rPr>
              <w:t xml:space="preserve"> </w:t>
            </w:r>
            <w:r w:rsidRPr="00875D3C">
              <w:rPr>
                <w:lang w:eastAsia="zh-CN"/>
              </w:rPr>
              <w:t>support and intends to access a cell in a coverage enhancement mode</w:t>
            </w:r>
            <w:r>
              <w:rPr>
                <w:lang w:eastAsia="zh-CN"/>
              </w:rPr>
              <w:t xml:space="preserve"> </w:t>
            </w:r>
            <w:r w:rsidRPr="00875D3C">
              <w:rPr>
                <w:lang w:eastAsia="zh-CN"/>
              </w:rPr>
              <w:t>or is configured in a coverage enhancement mode</w:t>
            </w:r>
            <w:r w:rsidRPr="00875D3C">
              <w:rPr>
                <w:rFonts w:hint="eastAsia"/>
                <w:lang w:eastAsia="zh-CN"/>
              </w:rPr>
              <w:t>.</w:t>
            </w:r>
          </w:p>
        </w:tc>
      </w:tr>
    </w:tbl>
    <w:p w14:paraId="272C89E7" w14:textId="1D43DA72" w:rsidR="00A473A2" w:rsidRPr="0061534C" w:rsidRDefault="00A473A2" w:rsidP="008A7560">
      <w:r>
        <w:t xml:space="preserve">From the RAN1 definition, it is clear BL/CE </w:t>
      </w:r>
      <w:r w:rsidR="002A33B0">
        <w:t>UE includes Cat-0 or higher category UEs capable of coverage enhancement mode A</w:t>
      </w:r>
      <w:r w:rsidR="00701BFE">
        <w:t xml:space="preserve"> (</w:t>
      </w:r>
      <w:r w:rsidR="00701BFE" w:rsidRPr="00701BFE">
        <w:rPr>
          <w:i/>
        </w:rPr>
        <w:t>ce-ModeA-r13</w:t>
      </w:r>
      <w:r w:rsidR="00701BFE">
        <w:t>)</w:t>
      </w:r>
      <w:r w:rsidR="002A33B0">
        <w:t xml:space="preserve">. </w:t>
      </w:r>
    </w:p>
    <w:p w14:paraId="0C45111D" w14:textId="1696F34C" w:rsidR="00AA07B2" w:rsidRDefault="00701BFE" w:rsidP="008A7560">
      <w:pPr>
        <w:rPr>
          <w:b/>
          <w:lang w:val="en-GB"/>
        </w:rPr>
      </w:pPr>
      <w:r w:rsidRPr="00701BFE">
        <w:rPr>
          <w:b/>
          <w:lang w:val="en-GB"/>
        </w:rPr>
        <w:t xml:space="preserve">Observation: All the Rel-15 eFeMTC features are applicable for Category 0 or higher category UEs capable of coverage enhancement A. </w:t>
      </w:r>
    </w:p>
    <w:p w14:paraId="55F5AC44" w14:textId="10F23D6B" w:rsidR="00EB7271" w:rsidRDefault="00EB7271" w:rsidP="008A7560">
      <w:pPr>
        <w:rPr>
          <w:lang w:val="en-GB"/>
        </w:rPr>
      </w:pPr>
      <w:r>
        <w:rPr>
          <w:lang w:val="en-GB"/>
        </w:rPr>
        <w:t xml:space="preserve">However we don’t think </w:t>
      </w:r>
      <w:r w:rsidR="0081038F">
        <w:rPr>
          <w:lang w:val="en-GB"/>
        </w:rPr>
        <w:t>all the new requirements</w:t>
      </w:r>
      <w:r w:rsidR="005C6C96">
        <w:rPr>
          <w:lang w:val="en-GB"/>
        </w:rPr>
        <w:t xml:space="preserve"> in Rel-15</w:t>
      </w:r>
      <w:r w:rsidR="0081038F">
        <w:rPr>
          <w:lang w:val="en-GB"/>
        </w:rPr>
        <w:t xml:space="preserve"> are </w:t>
      </w:r>
      <w:r>
        <w:rPr>
          <w:lang w:val="en-GB"/>
        </w:rPr>
        <w:t>necessar</w:t>
      </w:r>
      <w:r w:rsidR="0081038F">
        <w:rPr>
          <w:lang w:val="en-GB"/>
        </w:rPr>
        <w:t xml:space="preserve">ily applicable for the </w:t>
      </w:r>
      <w:r>
        <w:rPr>
          <w:lang w:val="en-GB"/>
        </w:rPr>
        <w:t>higher category UEs with coverage enhancement</w:t>
      </w:r>
      <w:r w:rsidR="0081038F">
        <w:rPr>
          <w:lang w:val="en-GB"/>
        </w:rPr>
        <w:t xml:space="preserve">. For example, the demodulation with 64QAM is set when UE without repetition. From the UE demodulation point of view, it is no difference from the legacy LTE requirements. </w:t>
      </w:r>
    </w:p>
    <w:p w14:paraId="183E3857" w14:textId="5E48CA7A" w:rsidR="00EB2924" w:rsidRDefault="0081038F" w:rsidP="008A7560">
      <w:pPr>
        <w:rPr>
          <w:lang w:val="en-GB"/>
        </w:rPr>
      </w:pPr>
      <w:r>
        <w:rPr>
          <w:lang w:val="en-GB"/>
        </w:rPr>
        <w:t>On the other hand,</w:t>
      </w:r>
      <w:r w:rsidR="00EB2924">
        <w:rPr>
          <w:lang w:val="en-GB"/>
        </w:rPr>
        <w:t xml:space="preserve"> </w:t>
      </w:r>
      <w:r>
        <w:rPr>
          <w:lang w:val="en-GB"/>
        </w:rPr>
        <w:t xml:space="preserve">the performance under high speed should be applicable for both BL UEs and CE UEs because </w:t>
      </w:r>
      <w:r w:rsidR="00EB2924">
        <w:rPr>
          <w:lang w:val="en-GB"/>
        </w:rPr>
        <w:t xml:space="preserve">it is interesting to specify the </w:t>
      </w:r>
      <w:r w:rsidR="005C6C96">
        <w:rPr>
          <w:lang w:val="en-GB"/>
        </w:rPr>
        <w:t>demodulation performance</w:t>
      </w:r>
      <w:r w:rsidR="00EB2924">
        <w:rPr>
          <w:lang w:val="en-GB"/>
        </w:rPr>
        <w:t xml:space="preserve"> with </w:t>
      </w:r>
      <w:r w:rsidR="007D40B8">
        <w:rPr>
          <w:lang w:val="en-GB"/>
        </w:rPr>
        <w:t xml:space="preserve">the combination of high Doppler (i.e., 200Hz) and </w:t>
      </w:r>
      <w:r w:rsidR="00EB2924">
        <w:rPr>
          <w:lang w:val="en-GB"/>
        </w:rPr>
        <w:t>coverage enhancement</w:t>
      </w:r>
      <w:r w:rsidR="007D40B8">
        <w:rPr>
          <w:lang w:val="en-GB"/>
        </w:rPr>
        <w:t xml:space="preserve"> (</w:t>
      </w:r>
      <w:r w:rsidR="00EB2924">
        <w:rPr>
          <w:lang w:val="en-GB"/>
        </w:rPr>
        <w:t>i.e., PDSCH repetition</w:t>
      </w:r>
      <w:r w:rsidR="007D40B8">
        <w:rPr>
          <w:lang w:val="en-GB"/>
        </w:rPr>
        <w:t>)</w:t>
      </w:r>
      <w:r>
        <w:rPr>
          <w:lang w:val="en-GB"/>
        </w:rPr>
        <w:t>, as WID mentioned.</w:t>
      </w:r>
    </w:p>
    <w:p w14:paraId="47B8F4CA" w14:textId="532360FB" w:rsidR="007D40B8" w:rsidRPr="005E5133" w:rsidRDefault="007D40B8" w:rsidP="008A7560">
      <w:pPr>
        <w:rPr>
          <w:b/>
          <w:lang w:val="en-GB"/>
        </w:rPr>
      </w:pPr>
      <w:r w:rsidRPr="005E5133">
        <w:rPr>
          <w:b/>
          <w:lang w:val="en-GB"/>
        </w:rPr>
        <w:t xml:space="preserve">Proposal 2: </w:t>
      </w:r>
      <w:r w:rsidR="005E5133" w:rsidRPr="005E5133">
        <w:rPr>
          <w:b/>
          <w:lang w:val="en-GB"/>
        </w:rPr>
        <w:t>RAN4 introduce</w:t>
      </w:r>
      <w:r w:rsidR="002002CD">
        <w:rPr>
          <w:b/>
          <w:lang w:val="en-GB"/>
        </w:rPr>
        <w:t>s</w:t>
      </w:r>
      <w:r w:rsidR="005E5133" w:rsidRPr="005E5133">
        <w:rPr>
          <w:b/>
          <w:lang w:val="en-GB"/>
        </w:rPr>
        <w:t xml:space="preserve"> new UE demodulation and CQI reporting requirements for non-BL UEs. FFS which test cases are applicable for non-BL UEs. </w:t>
      </w:r>
    </w:p>
    <w:p w14:paraId="48F677BA" w14:textId="66B822BA" w:rsidR="008A7560" w:rsidRDefault="008A7560" w:rsidP="008A7560">
      <w:pPr>
        <w:pStyle w:val="Heading2"/>
      </w:pPr>
      <w:r>
        <w:rPr>
          <w:rFonts w:hint="eastAsia"/>
        </w:rPr>
        <w:t>2</w:t>
      </w:r>
      <w:r>
        <w:t>.3</w:t>
      </w:r>
      <w:r>
        <w:tab/>
      </w:r>
      <w:r w:rsidRPr="008A7560">
        <w:t>PBCH demodulation performance requirement</w:t>
      </w:r>
    </w:p>
    <w:p w14:paraId="555F2DB0" w14:textId="4983BE42" w:rsidR="008A7560" w:rsidRDefault="008A7560" w:rsidP="00D211B2">
      <w:r>
        <w:t>RAN4 agreed to assume the enhanced MIB decoder which combines PBCH symbols for 2 MIB TTIs</w:t>
      </w:r>
      <w:r w:rsidR="00C529E9">
        <w:t xml:space="preserve"> </w:t>
      </w:r>
      <w:r w:rsidR="00C529E9">
        <w:fldChar w:fldCharType="begin"/>
      </w:r>
      <w:r w:rsidR="00C529E9">
        <w:instrText xml:space="preserve"> REF _Ref513477615 \r \h </w:instrText>
      </w:r>
      <w:r w:rsidR="00C529E9">
        <w:fldChar w:fldCharType="separate"/>
      </w:r>
      <w:r w:rsidR="00C529E9">
        <w:t>[3]</w:t>
      </w:r>
      <w:r w:rsidR="00C529E9">
        <w:fldChar w:fldCharType="end"/>
      </w:r>
      <w:r>
        <w:t xml:space="preserve">. </w:t>
      </w:r>
      <w:r w:rsidR="001004A7">
        <w:t xml:space="preserve">When RAN4 discussed the PBCH demodulation requirements, some company </w:t>
      </w:r>
      <w:r w:rsidR="0081038F">
        <w:t>was keen</w:t>
      </w:r>
      <w:r w:rsidR="001004A7">
        <w:t xml:space="preserve"> to introduce PBCH demodulation requirements for multiple </w:t>
      </w:r>
      <w:r w:rsidR="00D211B2">
        <w:t xml:space="preserve">MIB </w:t>
      </w:r>
      <w:r w:rsidR="001004A7">
        <w:t>TTI</w:t>
      </w:r>
      <w:r w:rsidR="00D211B2">
        <w:t xml:space="preserve">s, and </w:t>
      </w:r>
      <w:r w:rsidR="0081038F">
        <w:t xml:space="preserve">finally </w:t>
      </w:r>
      <w:r w:rsidR="00D211B2">
        <w:t xml:space="preserve">RAN4 </w:t>
      </w:r>
      <w:r w:rsidR="0081038F">
        <w:t xml:space="preserve">agreed to </w:t>
      </w:r>
      <w:r w:rsidR="00D211B2">
        <w:t>specif</w:t>
      </w:r>
      <w:r w:rsidR="0081038F">
        <w:t>y</w:t>
      </w:r>
      <w:r w:rsidR="00D211B2">
        <w:t xml:space="preserve"> the requirement with 28 TTIs. We think it is beneficial to </w:t>
      </w:r>
      <w:r w:rsidR="0081038F">
        <w:t>revise</w:t>
      </w:r>
      <w:r w:rsidR="00D211B2">
        <w:t xml:space="preserve"> the PBCH demodulation requirement with multiple TTI with the assumption of </w:t>
      </w:r>
      <w:r>
        <w:t xml:space="preserve">the enhanced MIB decoder. </w:t>
      </w:r>
    </w:p>
    <w:p w14:paraId="3F68AB6E" w14:textId="0B2F9A03" w:rsidR="008A7560" w:rsidRPr="00E01000" w:rsidRDefault="008A7560" w:rsidP="008A7560">
      <w:pPr>
        <w:rPr>
          <w:b/>
        </w:rPr>
      </w:pPr>
      <w:r w:rsidRPr="00E01000">
        <w:rPr>
          <w:b/>
        </w:rPr>
        <w:t xml:space="preserve">Proposal </w:t>
      </w:r>
      <w:r w:rsidR="00D211B2">
        <w:rPr>
          <w:b/>
        </w:rPr>
        <w:t>3</w:t>
      </w:r>
      <w:r w:rsidRPr="00E01000">
        <w:rPr>
          <w:b/>
        </w:rPr>
        <w:t xml:space="preserve">: RAN4 </w:t>
      </w:r>
      <w:r w:rsidR="00A42E42">
        <w:rPr>
          <w:b/>
        </w:rPr>
        <w:t>revises</w:t>
      </w:r>
      <w:r>
        <w:rPr>
          <w:b/>
        </w:rPr>
        <w:t xml:space="preserve"> the </w:t>
      </w:r>
      <w:r w:rsidRPr="00E01000">
        <w:rPr>
          <w:b/>
        </w:rPr>
        <w:t>PBCH demodulation requirements for multiple TTI scenario</w:t>
      </w:r>
      <w:r>
        <w:rPr>
          <w:b/>
        </w:rPr>
        <w:t xml:space="preserve"> based on the enhanced MIB decoder</w:t>
      </w:r>
      <w:r w:rsidRPr="00E01000">
        <w:rPr>
          <w:b/>
        </w:rPr>
        <w:t xml:space="preserve">.   </w:t>
      </w:r>
    </w:p>
    <w:p w14:paraId="7857C690" w14:textId="2637D15A" w:rsidR="00293F06" w:rsidRPr="005F46C0" w:rsidRDefault="00293F06" w:rsidP="00293F06"/>
    <w:p w14:paraId="0F28FAD6" w14:textId="6D97F3A9" w:rsidR="00A75F50" w:rsidRPr="00A75F50" w:rsidRDefault="00036B8B" w:rsidP="008D40E5">
      <w:pPr>
        <w:pStyle w:val="Heading2"/>
      </w:pPr>
      <w:bookmarkStart w:id="6" w:name="_GoBack"/>
      <w:bookmarkEnd w:id="6"/>
      <w:r>
        <w:t>2.</w:t>
      </w:r>
      <w:r w:rsidR="008D40E5">
        <w:t>4</w:t>
      </w:r>
      <w:r>
        <w:tab/>
      </w:r>
      <w:r w:rsidR="008D40E5">
        <w:t>CQI reporting test for new CQI tables</w:t>
      </w:r>
    </w:p>
    <w:p w14:paraId="69C4D6FF" w14:textId="6CAC0025" w:rsidR="00394E6E" w:rsidRDefault="002076AA" w:rsidP="00F44975">
      <w:r>
        <w:t xml:space="preserve">For UE supporting 64QAM, RAN1 agreed to </w:t>
      </w:r>
      <w:r w:rsidR="00394E6E">
        <w:t xml:space="preserve">use two CQI tables shown in </w:t>
      </w:r>
      <w:r w:rsidR="00394E6E">
        <w:fldChar w:fldCharType="begin"/>
      </w:r>
      <w:r w:rsidR="00394E6E">
        <w:instrText xml:space="preserve"> REF _Ref513476892 \h </w:instrText>
      </w:r>
      <w:r w:rsidR="00394E6E">
        <w:fldChar w:fldCharType="separate"/>
      </w:r>
      <w:r w:rsidR="00394E6E">
        <w:t xml:space="preserve">Table </w:t>
      </w:r>
      <w:r w:rsidR="00394E6E">
        <w:rPr>
          <w:noProof/>
        </w:rPr>
        <w:t>1</w:t>
      </w:r>
      <w:r w:rsidR="00394E6E">
        <w:fldChar w:fldCharType="end"/>
      </w:r>
      <w:r w:rsidR="00394E6E">
        <w:t xml:space="preserve"> and </w:t>
      </w:r>
      <w:r w:rsidR="00394E6E">
        <w:fldChar w:fldCharType="begin"/>
      </w:r>
      <w:r w:rsidR="00394E6E">
        <w:instrText xml:space="preserve"> REF _Ref513482056 \h </w:instrText>
      </w:r>
      <w:r w:rsidR="00394E6E">
        <w:fldChar w:fldCharType="separate"/>
      </w:r>
      <w:r w:rsidR="00394E6E">
        <w:t xml:space="preserve">Table </w:t>
      </w:r>
      <w:r w:rsidR="00394E6E">
        <w:rPr>
          <w:noProof/>
        </w:rPr>
        <w:t>2</w:t>
      </w:r>
      <w:r w:rsidR="00394E6E">
        <w:fldChar w:fldCharType="end"/>
      </w:r>
      <w:r w:rsidR="00440E39">
        <w:t xml:space="preserve"> in the appendix</w:t>
      </w:r>
      <w:r w:rsidR="00394E6E">
        <w:t xml:space="preserve">. </w:t>
      </w:r>
      <w:r w:rsidR="00394E6E">
        <w:fldChar w:fldCharType="begin"/>
      </w:r>
      <w:r w:rsidR="00394E6E">
        <w:instrText xml:space="preserve"> REF _Ref513482056 \h </w:instrText>
      </w:r>
      <w:r w:rsidR="00394E6E">
        <w:fldChar w:fldCharType="separate"/>
      </w:r>
      <w:r w:rsidR="00394E6E">
        <w:t xml:space="preserve">Table </w:t>
      </w:r>
      <w:r w:rsidR="00394E6E">
        <w:rPr>
          <w:noProof/>
        </w:rPr>
        <w:t>2</w:t>
      </w:r>
      <w:r w:rsidR="00394E6E">
        <w:fldChar w:fldCharType="end"/>
      </w:r>
      <w:r w:rsidR="00394E6E">
        <w:t xml:space="preserve"> is based on the existing CQI Table used for CE Mode A UE (TS36.213 Table 7.2.3-3). Table 7.2.3-3 is specified up to CQI index 11, but for supporting 64QAM, RAN1 added CQI indices 12 to 15 to support 64QAM. </w:t>
      </w:r>
      <w:r w:rsidR="005A47EF">
        <w:t xml:space="preserve">On the other hand, </w:t>
      </w:r>
      <w:r w:rsidR="00394E6E">
        <w:fldChar w:fldCharType="begin"/>
      </w:r>
      <w:r w:rsidR="00394E6E">
        <w:instrText xml:space="preserve"> REF _Ref513476892 \h </w:instrText>
      </w:r>
      <w:r w:rsidR="00394E6E">
        <w:fldChar w:fldCharType="separate"/>
      </w:r>
      <w:r w:rsidR="00394E6E">
        <w:t xml:space="preserve">Table </w:t>
      </w:r>
      <w:r w:rsidR="00394E6E">
        <w:rPr>
          <w:noProof/>
        </w:rPr>
        <w:t>1</w:t>
      </w:r>
      <w:r w:rsidR="00394E6E">
        <w:fldChar w:fldCharType="end"/>
      </w:r>
      <w:r w:rsidR="00394E6E">
        <w:t xml:space="preserve"> is a new table and it is also called option B CQI table. According to RAN1 agreement</w:t>
      </w:r>
      <w:r w:rsidR="00216569">
        <w:t>,</w:t>
      </w:r>
      <w:r w:rsidR="00394E6E">
        <w:t xml:space="preserve"> this</w:t>
      </w:r>
      <w:r w:rsidR="00454A6A">
        <w:t xml:space="preserve"> CQI </w:t>
      </w:r>
      <w:r w:rsidR="00394E6E">
        <w:t xml:space="preserve">table is used not only for 64QAM supporting UE but also </w:t>
      </w:r>
      <w:r w:rsidR="00114E35">
        <w:t xml:space="preserve">for </w:t>
      </w:r>
      <w:r w:rsidR="00394E6E">
        <w:t>legacy non-</w:t>
      </w:r>
      <w:r w:rsidR="00394E6E">
        <w:lastRenderedPageBreak/>
        <w:t>64QAM supporting UE. If UE without 64QAM support use the option B table, both UE and BS assume CQI indices 13-15 are not used.</w:t>
      </w:r>
      <w:r w:rsidR="00216569">
        <w:t xml:space="preserve"> </w:t>
      </w:r>
    </w:p>
    <w:p w14:paraId="1D8E8ABF" w14:textId="1DB9021F" w:rsidR="00216569" w:rsidRDefault="00216569" w:rsidP="00F44975">
      <w:r>
        <w:t xml:space="preserve">From RAN4 CSI reporting test point of view we propose to verify both tables. </w:t>
      </w:r>
    </w:p>
    <w:p w14:paraId="6B2F210E" w14:textId="04CB2CDD" w:rsidR="006A3FB1" w:rsidRPr="00180C36" w:rsidRDefault="00B66C55" w:rsidP="00F44975">
      <w:pPr>
        <w:rPr>
          <w:b/>
        </w:rPr>
      </w:pPr>
      <w:r w:rsidRPr="00180C36">
        <w:rPr>
          <w:b/>
        </w:rPr>
        <w:t>Proposal</w:t>
      </w:r>
      <w:r w:rsidR="00440E39">
        <w:rPr>
          <w:b/>
        </w:rPr>
        <w:t xml:space="preserve"> 4</w:t>
      </w:r>
      <w:r w:rsidRPr="00180C36">
        <w:rPr>
          <w:b/>
        </w:rPr>
        <w:t>: Introduce CQI reporting requirements with</w:t>
      </w:r>
      <w:r w:rsidR="006A3FB1" w:rsidRPr="00180C36">
        <w:rPr>
          <w:b/>
        </w:rPr>
        <w:t xml:space="preserve"> </w:t>
      </w:r>
      <w:r w:rsidRPr="00180C36">
        <w:rPr>
          <w:b/>
        </w:rPr>
        <w:fldChar w:fldCharType="begin"/>
      </w:r>
      <w:r w:rsidRPr="00180C36">
        <w:rPr>
          <w:b/>
        </w:rPr>
        <w:instrText xml:space="preserve"> REF _Ref513482056 \h </w:instrText>
      </w:r>
      <w:r w:rsidR="00180C36">
        <w:rPr>
          <w:b/>
        </w:rPr>
        <w:instrText xml:space="preserve"> \* MERGEFORMAT </w:instrText>
      </w:r>
      <w:r w:rsidRPr="00180C36">
        <w:rPr>
          <w:b/>
        </w:rPr>
      </w:r>
      <w:r w:rsidRPr="00180C36">
        <w:rPr>
          <w:b/>
        </w:rPr>
        <w:fldChar w:fldCharType="separate"/>
      </w:r>
      <w:r w:rsidRPr="00180C36">
        <w:rPr>
          <w:b/>
        </w:rPr>
        <w:t xml:space="preserve">Table </w:t>
      </w:r>
      <w:r w:rsidRPr="00180C36">
        <w:rPr>
          <w:b/>
          <w:noProof/>
        </w:rPr>
        <w:t>2</w:t>
      </w:r>
      <w:r w:rsidRPr="00180C36">
        <w:rPr>
          <w:b/>
        </w:rPr>
        <w:fldChar w:fldCharType="end"/>
      </w:r>
      <w:r w:rsidRPr="00180C36">
        <w:rPr>
          <w:b/>
        </w:rPr>
        <w:t xml:space="preserve">. Test point(s) are chosen to that UE report CQI indices 11 or more. Applicability is only for Cat-M1/M2 CE Mode A. </w:t>
      </w:r>
    </w:p>
    <w:p w14:paraId="66DA536B" w14:textId="554F316A" w:rsidR="00B66C55" w:rsidRPr="00180C36" w:rsidRDefault="00B66C55" w:rsidP="00F44975">
      <w:pPr>
        <w:rPr>
          <w:b/>
        </w:rPr>
      </w:pPr>
      <w:r w:rsidRPr="00180C36">
        <w:rPr>
          <w:b/>
        </w:rPr>
        <w:t>Proposal</w:t>
      </w:r>
      <w:r w:rsidR="00440E39">
        <w:rPr>
          <w:b/>
        </w:rPr>
        <w:t xml:space="preserve"> 5</w:t>
      </w:r>
      <w:r w:rsidRPr="00180C36">
        <w:rPr>
          <w:b/>
        </w:rPr>
        <w:t xml:space="preserve">: Introduce CQI reporting requirements with </w:t>
      </w:r>
      <w:r w:rsidRPr="00180C36">
        <w:rPr>
          <w:b/>
        </w:rPr>
        <w:fldChar w:fldCharType="begin"/>
      </w:r>
      <w:r w:rsidRPr="00180C36">
        <w:rPr>
          <w:b/>
        </w:rPr>
        <w:instrText xml:space="preserve"> REF _Ref513476892 \h </w:instrText>
      </w:r>
      <w:r w:rsidR="00180C36">
        <w:rPr>
          <w:b/>
        </w:rPr>
        <w:instrText xml:space="preserve"> \* MERGEFORMAT </w:instrText>
      </w:r>
      <w:r w:rsidRPr="00180C36">
        <w:rPr>
          <w:b/>
        </w:rPr>
      </w:r>
      <w:r w:rsidRPr="00180C36">
        <w:rPr>
          <w:b/>
        </w:rPr>
        <w:fldChar w:fldCharType="separate"/>
      </w:r>
      <w:r w:rsidRPr="00180C36">
        <w:rPr>
          <w:b/>
        </w:rPr>
        <w:t xml:space="preserve">Table </w:t>
      </w:r>
      <w:r w:rsidRPr="00180C36">
        <w:rPr>
          <w:b/>
          <w:noProof/>
        </w:rPr>
        <w:t>1</w:t>
      </w:r>
      <w:r w:rsidRPr="00180C36">
        <w:rPr>
          <w:b/>
        </w:rPr>
        <w:fldChar w:fldCharType="end"/>
      </w:r>
      <w:r w:rsidR="00A42E42">
        <w:rPr>
          <w:b/>
        </w:rPr>
        <w:t xml:space="preserve"> (option B CQI table)</w:t>
      </w:r>
      <w:r w:rsidRPr="00180C36">
        <w:rPr>
          <w:b/>
        </w:rPr>
        <w:t xml:space="preserve">. Test point(s) to be chosen </w:t>
      </w:r>
      <w:r w:rsidR="007427F1">
        <w:rPr>
          <w:b/>
        </w:rPr>
        <w:t>s</w:t>
      </w:r>
      <w:r w:rsidRPr="00180C36">
        <w:rPr>
          <w:b/>
        </w:rPr>
        <w:t xml:space="preserve">o </w:t>
      </w:r>
      <w:r w:rsidR="007427F1">
        <w:rPr>
          <w:b/>
        </w:rPr>
        <w:t>t</w:t>
      </w:r>
      <w:r w:rsidRPr="00180C36">
        <w:rPr>
          <w:b/>
        </w:rPr>
        <w:t xml:space="preserve">hat UE reports </w:t>
      </w:r>
      <w:r w:rsidR="00180C36" w:rsidRPr="00180C36">
        <w:rPr>
          <w:b/>
        </w:rPr>
        <w:t xml:space="preserve">1) </w:t>
      </w:r>
      <w:r w:rsidRPr="00180C36">
        <w:rPr>
          <w:b/>
        </w:rPr>
        <w:t>CQI indices 3 or 4</w:t>
      </w:r>
      <w:r w:rsidR="00180C36" w:rsidRPr="00180C36">
        <w:rPr>
          <w:b/>
        </w:rPr>
        <w:t xml:space="preserve">, and 2) 11 or 12. Applicability for both Cat-M1/M2 and higher category UE with/without 64QAM. </w:t>
      </w:r>
    </w:p>
    <w:p w14:paraId="44C5C501" w14:textId="585AF349" w:rsidR="004579FB" w:rsidRPr="00B57EE3" w:rsidRDefault="004579FB" w:rsidP="00A75F50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SimSun"/>
        </w:rPr>
      </w:pPr>
    </w:p>
    <w:p w14:paraId="1BDCC319" w14:textId="25E18537" w:rsidR="001E3FF0" w:rsidRDefault="001E3FF0" w:rsidP="00B83426">
      <w:pPr>
        <w:pStyle w:val="Heading1"/>
      </w:pPr>
      <w:r>
        <w:t>3</w:t>
      </w:r>
      <w:r>
        <w:tab/>
        <w:t>Summary</w:t>
      </w:r>
    </w:p>
    <w:p w14:paraId="04AD962C" w14:textId="77777777" w:rsidR="007C71AC" w:rsidRDefault="007C71AC" w:rsidP="007C71AC">
      <w:pPr>
        <w:rPr>
          <w:b/>
          <w:lang w:val="en-GB"/>
        </w:rPr>
      </w:pPr>
      <w:r w:rsidRPr="00701BFE">
        <w:rPr>
          <w:b/>
          <w:lang w:val="en-GB"/>
        </w:rPr>
        <w:t xml:space="preserve">Observation: All the Rel-15 eFeMTC features are applicable for Category 0 or higher category UEs capable of coverage enhancement A. </w:t>
      </w:r>
    </w:p>
    <w:p w14:paraId="32EC0FFF" w14:textId="77777777" w:rsidR="007C71AC" w:rsidRPr="00AA07B2" w:rsidRDefault="007C71AC" w:rsidP="007C71AC">
      <w:pPr>
        <w:rPr>
          <w:b/>
        </w:rPr>
      </w:pPr>
      <w:r w:rsidRPr="00AA07B2">
        <w:rPr>
          <w:b/>
        </w:rPr>
        <w:t>Proposal 1: No demodulation requirement due to the flexible PDSCH resource allocation.</w:t>
      </w:r>
    </w:p>
    <w:p w14:paraId="3719A6CD" w14:textId="0D2624B0" w:rsidR="007C71AC" w:rsidRPr="005E5133" w:rsidRDefault="007C71AC" w:rsidP="007C71AC">
      <w:pPr>
        <w:rPr>
          <w:b/>
          <w:lang w:val="en-GB"/>
        </w:rPr>
      </w:pPr>
      <w:r w:rsidRPr="005E5133">
        <w:rPr>
          <w:b/>
          <w:lang w:val="en-GB"/>
        </w:rPr>
        <w:t>Proposal 2: RAN4 introduce</w:t>
      </w:r>
      <w:r w:rsidR="00EC5BD3">
        <w:rPr>
          <w:b/>
          <w:lang w:val="en-GB"/>
        </w:rPr>
        <w:t>s</w:t>
      </w:r>
      <w:r w:rsidRPr="005E5133">
        <w:rPr>
          <w:b/>
          <w:lang w:val="en-GB"/>
        </w:rPr>
        <w:t xml:space="preserve"> new UE demodulation and CQI reporting requirements for non-BL UEs. FFS which test cases are applicable for non-BL UEs. </w:t>
      </w:r>
    </w:p>
    <w:p w14:paraId="45DBEA82" w14:textId="6089D96C" w:rsidR="007C71AC" w:rsidRPr="00E01000" w:rsidRDefault="007C71AC" w:rsidP="007C71AC">
      <w:pPr>
        <w:rPr>
          <w:b/>
        </w:rPr>
      </w:pPr>
      <w:r w:rsidRPr="00E01000">
        <w:rPr>
          <w:b/>
        </w:rPr>
        <w:t xml:space="preserve">Proposal </w:t>
      </w:r>
      <w:r>
        <w:rPr>
          <w:b/>
        </w:rPr>
        <w:t>3</w:t>
      </w:r>
      <w:r w:rsidRPr="00E01000">
        <w:rPr>
          <w:b/>
        </w:rPr>
        <w:t xml:space="preserve">: RAN4 </w:t>
      </w:r>
      <w:r w:rsidR="00A42E42">
        <w:rPr>
          <w:b/>
        </w:rPr>
        <w:t>revises</w:t>
      </w:r>
      <w:r>
        <w:rPr>
          <w:b/>
        </w:rPr>
        <w:t xml:space="preserve"> the </w:t>
      </w:r>
      <w:r w:rsidRPr="00E01000">
        <w:rPr>
          <w:b/>
        </w:rPr>
        <w:t>PBCH demodulation requirements for multiple TTI scenario</w:t>
      </w:r>
      <w:r>
        <w:rPr>
          <w:b/>
        </w:rPr>
        <w:t xml:space="preserve"> based on the enhanced MIB decoder</w:t>
      </w:r>
      <w:r w:rsidRPr="00E01000">
        <w:rPr>
          <w:b/>
        </w:rPr>
        <w:t xml:space="preserve">.   </w:t>
      </w:r>
    </w:p>
    <w:p w14:paraId="145C6EDF" w14:textId="77777777" w:rsidR="007C71AC" w:rsidRPr="00180C36" w:rsidRDefault="007C71AC" w:rsidP="007C71AC">
      <w:pPr>
        <w:rPr>
          <w:b/>
        </w:rPr>
      </w:pPr>
      <w:r w:rsidRPr="00180C36">
        <w:rPr>
          <w:b/>
        </w:rPr>
        <w:t>Proposal</w:t>
      </w:r>
      <w:r>
        <w:rPr>
          <w:b/>
        </w:rPr>
        <w:t xml:space="preserve"> 4</w:t>
      </w:r>
      <w:r w:rsidRPr="00180C36">
        <w:rPr>
          <w:b/>
        </w:rPr>
        <w:t xml:space="preserve">: Introduce CQI reporting requirements with </w:t>
      </w:r>
      <w:r w:rsidRPr="00180C36">
        <w:rPr>
          <w:b/>
        </w:rPr>
        <w:fldChar w:fldCharType="begin"/>
      </w:r>
      <w:r w:rsidRPr="00180C36">
        <w:rPr>
          <w:b/>
        </w:rPr>
        <w:instrText xml:space="preserve"> REF _Ref513482056 \h </w:instrText>
      </w:r>
      <w:r>
        <w:rPr>
          <w:b/>
        </w:rPr>
        <w:instrText xml:space="preserve"> \* MERGEFORMAT </w:instrText>
      </w:r>
      <w:r w:rsidRPr="00180C36">
        <w:rPr>
          <w:b/>
        </w:rPr>
      </w:r>
      <w:r w:rsidRPr="00180C36">
        <w:rPr>
          <w:b/>
        </w:rPr>
        <w:fldChar w:fldCharType="separate"/>
      </w:r>
      <w:r w:rsidRPr="00180C36">
        <w:rPr>
          <w:b/>
        </w:rPr>
        <w:t xml:space="preserve">Table </w:t>
      </w:r>
      <w:r w:rsidRPr="00180C36">
        <w:rPr>
          <w:b/>
          <w:noProof/>
        </w:rPr>
        <w:t>2</w:t>
      </w:r>
      <w:r w:rsidRPr="00180C36">
        <w:rPr>
          <w:b/>
        </w:rPr>
        <w:fldChar w:fldCharType="end"/>
      </w:r>
      <w:r w:rsidRPr="00180C36">
        <w:rPr>
          <w:b/>
        </w:rPr>
        <w:t xml:space="preserve">. Test point(s) are chosen to that UE report CQI indices 11 or more. Applicability is only for Cat-M1/M2 CE Mode A. </w:t>
      </w:r>
    </w:p>
    <w:p w14:paraId="2897D332" w14:textId="279D1A29" w:rsidR="00790B8B" w:rsidRPr="000A5FD1" w:rsidRDefault="00A42E42" w:rsidP="00A72022">
      <w:pPr>
        <w:rPr>
          <w:b/>
        </w:rPr>
      </w:pPr>
      <w:r w:rsidRPr="00180C36">
        <w:rPr>
          <w:b/>
        </w:rPr>
        <w:t>Proposal</w:t>
      </w:r>
      <w:r>
        <w:rPr>
          <w:b/>
        </w:rPr>
        <w:t xml:space="preserve"> 5</w:t>
      </w:r>
      <w:r w:rsidRPr="00180C36">
        <w:rPr>
          <w:b/>
        </w:rPr>
        <w:t xml:space="preserve">: Introduce CQI reporting requirements with </w:t>
      </w:r>
      <w:r w:rsidRPr="00180C36">
        <w:rPr>
          <w:b/>
        </w:rPr>
        <w:fldChar w:fldCharType="begin"/>
      </w:r>
      <w:r w:rsidRPr="00180C36">
        <w:rPr>
          <w:b/>
        </w:rPr>
        <w:instrText xml:space="preserve"> REF _Ref513476892 \h </w:instrText>
      </w:r>
      <w:r>
        <w:rPr>
          <w:b/>
        </w:rPr>
        <w:instrText xml:space="preserve"> \* MERGEFORMAT </w:instrText>
      </w:r>
      <w:r w:rsidRPr="00180C36">
        <w:rPr>
          <w:b/>
        </w:rPr>
      </w:r>
      <w:r w:rsidRPr="00180C36">
        <w:rPr>
          <w:b/>
        </w:rPr>
        <w:fldChar w:fldCharType="separate"/>
      </w:r>
      <w:r w:rsidRPr="00180C36">
        <w:rPr>
          <w:b/>
        </w:rPr>
        <w:t xml:space="preserve">Table </w:t>
      </w:r>
      <w:r w:rsidRPr="00180C36">
        <w:rPr>
          <w:b/>
          <w:noProof/>
        </w:rPr>
        <w:t>1</w:t>
      </w:r>
      <w:r w:rsidRPr="00180C36">
        <w:rPr>
          <w:b/>
        </w:rPr>
        <w:fldChar w:fldCharType="end"/>
      </w:r>
      <w:r>
        <w:rPr>
          <w:b/>
        </w:rPr>
        <w:t xml:space="preserve"> (option B CQI table)</w:t>
      </w:r>
      <w:r w:rsidRPr="00180C36">
        <w:rPr>
          <w:b/>
        </w:rPr>
        <w:t xml:space="preserve">. Test point(s) to be chosen </w:t>
      </w:r>
      <w:r>
        <w:rPr>
          <w:b/>
        </w:rPr>
        <w:t>s</w:t>
      </w:r>
      <w:r w:rsidRPr="00180C36">
        <w:rPr>
          <w:b/>
        </w:rPr>
        <w:t xml:space="preserve">o </w:t>
      </w:r>
      <w:r>
        <w:rPr>
          <w:b/>
        </w:rPr>
        <w:t>t</w:t>
      </w:r>
      <w:r w:rsidRPr="00180C36">
        <w:rPr>
          <w:b/>
        </w:rPr>
        <w:t xml:space="preserve">hat UE reports 1) CQI indices 3 or 4, and 2) 11 or 12. Applicability for both Cat-M1/M2 and higher category UE with/without 64QAM. </w:t>
      </w:r>
    </w:p>
    <w:p w14:paraId="1555E66F" w14:textId="49D1CEC9" w:rsidR="00766EB9" w:rsidRPr="00437BE8" w:rsidRDefault="00B83426" w:rsidP="00766EB9">
      <w:pPr>
        <w:pStyle w:val="Heading1"/>
        <w:rPr>
          <w:lang w:val="en-US"/>
        </w:rPr>
      </w:pPr>
      <w:bookmarkStart w:id="7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0E27B7B8" w14:textId="0EC10C6E" w:rsidR="00737739" w:rsidRPr="00737739" w:rsidRDefault="004E6F54" w:rsidP="00737739">
      <w:pPr>
        <w:pStyle w:val="Reference"/>
        <w:rPr>
          <w:color w:val="000000"/>
          <w:lang w:eastAsia="zh-CN"/>
        </w:rPr>
      </w:pPr>
      <w:bookmarkStart w:id="8" w:name="_Ref509843932"/>
      <w:bookmarkStart w:id="9" w:name="_Ref510454922"/>
      <w:bookmarkStart w:id="10" w:name="_Ref513471043"/>
      <w:bookmarkEnd w:id="7"/>
      <w:r>
        <w:rPr>
          <w:color w:val="000000"/>
          <w:lang w:eastAsia="zh-CN"/>
        </w:rPr>
        <w:t>R</w:t>
      </w:r>
      <w:r w:rsidR="00737739">
        <w:rPr>
          <w:color w:val="000000"/>
          <w:lang w:eastAsia="zh-CN"/>
        </w:rPr>
        <w:t>4-1805476</w:t>
      </w:r>
      <w:r w:rsidR="00621FA6">
        <w:rPr>
          <w:color w:val="000000"/>
          <w:lang w:eastAsia="zh-CN"/>
        </w:rPr>
        <w:t>, “</w:t>
      </w:r>
      <w:bookmarkEnd w:id="8"/>
      <w:bookmarkEnd w:id="9"/>
      <w:r w:rsidR="00737739" w:rsidRPr="00737739">
        <w:rPr>
          <w:color w:val="000000"/>
          <w:lang w:eastAsia="zh-CN"/>
        </w:rPr>
        <w:t>Way forward on UE performance requirements for eFeMTC</w:t>
      </w:r>
      <w:r w:rsidR="00737739">
        <w:t>”, Huawei, HiSilicon, Ericsson.</w:t>
      </w:r>
      <w:bookmarkEnd w:id="10"/>
    </w:p>
    <w:p w14:paraId="05228833" w14:textId="0FD42680" w:rsidR="002B0E1E" w:rsidRDefault="006F5984" w:rsidP="00B60AFB">
      <w:pPr>
        <w:pStyle w:val="Reference"/>
      </w:pPr>
      <w:bookmarkStart w:id="11" w:name="_Ref513473954"/>
      <w:r>
        <w:t>RP-</w:t>
      </w:r>
      <w:r w:rsidR="003B30D9">
        <w:t xml:space="preserve">172811, </w:t>
      </w:r>
      <w:r w:rsidR="00B60AFB">
        <w:t>“</w:t>
      </w:r>
      <w:r w:rsidR="00B60AFB" w:rsidRPr="00B60AFB">
        <w:t>Revised WID on Even further enhanced MTC for LTE</w:t>
      </w:r>
      <w:r w:rsidR="00B60AFB">
        <w:t>”, Ericsson, Qualcomm.</w:t>
      </w:r>
      <w:bookmarkEnd w:id="11"/>
      <w:r w:rsidR="00B60AFB">
        <w:t xml:space="preserve"> </w:t>
      </w:r>
    </w:p>
    <w:p w14:paraId="58D5A975" w14:textId="7B060BDC" w:rsidR="00C529E9" w:rsidRDefault="00C529E9" w:rsidP="00B60AFB">
      <w:pPr>
        <w:pStyle w:val="Reference"/>
      </w:pPr>
      <w:bookmarkStart w:id="12" w:name="_Ref513477615"/>
      <w:r>
        <w:t>R4-173855, “</w:t>
      </w:r>
      <w:r w:rsidRPr="002B0E1E">
        <w:t>LS response to System acquisition time reduction for Rel-15 LTE MTC</w:t>
      </w:r>
      <w:r>
        <w:t>”, Ericsson.</w:t>
      </w:r>
      <w:bookmarkEnd w:id="12"/>
    </w:p>
    <w:p w14:paraId="1A269556" w14:textId="1E455580" w:rsidR="00BD1435" w:rsidRDefault="00BD1435" w:rsidP="00BD1435">
      <w:pPr>
        <w:pStyle w:val="Reference"/>
        <w:numPr>
          <w:ilvl w:val="0"/>
          <w:numId w:val="0"/>
        </w:numPr>
      </w:pPr>
    </w:p>
    <w:p w14:paraId="64EDD854" w14:textId="187CEDAC" w:rsidR="00BD1435" w:rsidRDefault="00BD1435" w:rsidP="00BD1435">
      <w:pPr>
        <w:pStyle w:val="Heading1"/>
      </w:pPr>
      <w:r>
        <w:t>Appendix</w:t>
      </w:r>
    </w:p>
    <w:p w14:paraId="251A75E3" w14:textId="24D18AE8" w:rsidR="00BD1435" w:rsidRDefault="00EB2924" w:rsidP="00EB2924">
      <w:pPr>
        <w:pStyle w:val="Caption"/>
        <w:rPr>
          <w:lang w:val="en-GB"/>
        </w:rPr>
      </w:pPr>
      <w:bookmarkStart w:id="13" w:name="_Ref513476892"/>
      <w:r>
        <w:t xml:space="preserve">Table </w:t>
      </w:r>
      <w:r w:rsidR="00665030">
        <w:fldChar w:fldCharType="begin"/>
      </w:r>
      <w:r w:rsidR="00665030">
        <w:instrText xml:space="preserve"> SEQ Table \* ARABIC </w:instrText>
      </w:r>
      <w:r w:rsidR="00665030">
        <w:fldChar w:fldCharType="separate"/>
      </w:r>
      <w:r w:rsidR="00F37290">
        <w:rPr>
          <w:noProof/>
        </w:rPr>
        <w:t>1</w:t>
      </w:r>
      <w:r w:rsidR="00665030">
        <w:rPr>
          <w:noProof/>
        </w:rPr>
        <w:fldChar w:fldCharType="end"/>
      </w:r>
      <w:bookmarkEnd w:id="13"/>
      <w:r>
        <w:tab/>
      </w:r>
      <w:r>
        <w:rPr>
          <w:lang w:val="en-GB"/>
        </w:rPr>
        <w:t>Option B CQI table.</w:t>
      </w:r>
    </w:p>
    <w:tbl>
      <w:tblPr>
        <w:tblW w:w="3534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03"/>
        <w:gridCol w:w="1251"/>
        <w:gridCol w:w="663"/>
        <w:gridCol w:w="1177"/>
      </w:tblGrid>
      <w:tr w:rsidR="00BD1435" w:rsidRPr="0093625A" w14:paraId="6EBFE951" w14:textId="77777777" w:rsidTr="007D40B8">
        <w:trPr>
          <w:trHeight w:val="522"/>
          <w:jc w:val="center"/>
        </w:trPr>
        <w:tc>
          <w:tcPr>
            <w:tcW w:w="659" w:type="dxa"/>
            <w:shd w:val="clear" w:color="auto" w:fill="auto"/>
            <w:hideMark/>
          </w:tcPr>
          <w:p w14:paraId="38C9162A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CQI index</w:t>
            </w:r>
          </w:p>
        </w:tc>
        <w:tc>
          <w:tcPr>
            <w:tcW w:w="1157" w:type="dxa"/>
            <w:tcBorders>
              <w:bottom w:val="single" w:sz="4" w:space="0" w:color="BFBFBF"/>
            </w:tcBorders>
            <w:shd w:val="clear" w:color="auto" w:fill="auto"/>
            <w:hideMark/>
          </w:tcPr>
          <w:p w14:paraId="156413AA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modulation</w:t>
            </w:r>
          </w:p>
        </w:tc>
        <w:tc>
          <w:tcPr>
            <w:tcW w:w="622" w:type="dxa"/>
            <w:tcBorders>
              <w:bottom w:val="single" w:sz="4" w:space="0" w:color="BFBFBF"/>
            </w:tcBorders>
            <w:shd w:val="clear" w:color="auto" w:fill="auto"/>
            <w:hideMark/>
          </w:tcPr>
          <w:p w14:paraId="3B532265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 xml:space="preserve">code rate x 1024 </w:t>
            </w:r>
          </w:p>
        </w:tc>
        <w:tc>
          <w:tcPr>
            <w:tcW w:w="1096" w:type="dxa"/>
            <w:tcBorders>
              <w:bottom w:val="single" w:sz="4" w:space="0" w:color="BFBFBF"/>
            </w:tcBorders>
            <w:shd w:val="clear" w:color="auto" w:fill="auto"/>
            <w:hideMark/>
          </w:tcPr>
          <w:p w14:paraId="7F5B5B06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</w:rPr>
              <w:t>Repetition</w:t>
            </w:r>
          </w:p>
        </w:tc>
      </w:tr>
      <w:tr w:rsidR="00BD1435" w14:paraId="18F8D986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auto"/>
          </w:tcPr>
          <w:p w14:paraId="5366B73E" w14:textId="77777777" w:rsidR="00BD1435" w:rsidRPr="0093625A" w:rsidRDefault="00BD1435" w:rsidP="007D40B8">
            <w:pPr>
              <w:spacing w:after="0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0</w:t>
            </w:r>
          </w:p>
        </w:tc>
        <w:tc>
          <w:tcPr>
            <w:tcW w:w="2875" w:type="dxa"/>
            <w:gridSpan w:val="3"/>
            <w:shd w:val="clear" w:color="auto" w:fill="D9D9D9"/>
          </w:tcPr>
          <w:p w14:paraId="2690B83E" w14:textId="77777777" w:rsidR="00BD1435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Out of range</w:t>
            </w:r>
          </w:p>
        </w:tc>
      </w:tr>
      <w:tr w:rsidR="00BD1435" w:rsidRPr="0093625A" w14:paraId="77A85B9B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1DBDA999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lastRenderedPageBreak/>
              <w:t>1</w:t>
            </w:r>
          </w:p>
        </w:tc>
        <w:tc>
          <w:tcPr>
            <w:tcW w:w="1157" w:type="dxa"/>
            <w:shd w:val="clear" w:color="auto" w:fill="auto"/>
            <w:hideMark/>
          </w:tcPr>
          <w:p w14:paraId="102003BD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 xml:space="preserve">QPSK </w:t>
            </w:r>
          </w:p>
        </w:tc>
        <w:tc>
          <w:tcPr>
            <w:tcW w:w="622" w:type="dxa"/>
            <w:shd w:val="clear" w:color="auto" w:fill="auto"/>
          </w:tcPr>
          <w:p w14:paraId="373C2322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56</w:t>
            </w:r>
          </w:p>
        </w:tc>
        <w:tc>
          <w:tcPr>
            <w:tcW w:w="1096" w:type="dxa"/>
            <w:shd w:val="clear" w:color="auto" w:fill="auto"/>
          </w:tcPr>
          <w:p w14:paraId="191C8F0B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</w:t>
            </w:r>
          </w:p>
        </w:tc>
      </w:tr>
      <w:tr w:rsidR="00BD1435" w:rsidRPr="0093625A" w14:paraId="104827F2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10CF3582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2</w:t>
            </w:r>
          </w:p>
        </w:tc>
        <w:tc>
          <w:tcPr>
            <w:tcW w:w="1157" w:type="dxa"/>
            <w:shd w:val="clear" w:color="auto" w:fill="F2F2F2"/>
            <w:hideMark/>
          </w:tcPr>
          <w:p w14:paraId="78447ACA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 xml:space="preserve">QPSK </w:t>
            </w:r>
          </w:p>
        </w:tc>
        <w:tc>
          <w:tcPr>
            <w:tcW w:w="622" w:type="dxa"/>
            <w:shd w:val="clear" w:color="auto" w:fill="F2F2F2"/>
          </w:tcPr>
          <w:p w14:paraId="76278AEB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207</w:t>
            </w:r>
          </w:p>
        </w:tc>
        <w:tc>
          <w:tcPr>
            <w:tcW w:w="1096" w:type="dxa"/>
            <w:shd w:val="clear" w:color="auto" w:fill="F2F2F2"/>
          </w:tcPr>
          <w:p w14:paraId="66095D2B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</w:t>
            </w:r>
          </w:p>
        </w:tc>
      </w:tr>
      <w:tr w:rsidR="00BD1435" w:rsidRPr="0093625A" w14:paraId="452D81EC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3B3122EA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3</w:t>
            </w:r>
          </w:p>
        </w:tc>
        <w:tc>
          <w:tcPr>
            <w:tcW w:w="1157" w:type="dxa"/>
            <w:shd w:val="clear" w:color="auto" w:fill="auto"/>
            <w:hideMark/>
          </w:tcPr>
          <w:p w14:paraId="67154718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 xml:space="preserve">QPSK </w:t>
            </w:r>
          </w:p>
        </w:tc>
        <w:tc>
          <w:tcPr>
            <w:tcW w:w="622" w:type="dxa"/>
            <w:shd w:val="clear" w:color="auto" w:fill="auto"/>
          </w:tcPr>
          <w:p w14:paraId="365546A0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266</w:t>
            </w:r>
          </w:p>
        </w:tc>
        <w:tc>
          <w:tcPr>
            <w:tcW w:w="1096" w:type="dxa"/>
            <w:shd w:val="clear" w:color="auto" w:fill="auto"/>
          </w:tcPr>
          <w:p w14:paraId="008338FA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</w:tr>
      <w:tr w:rsidR="00BD1435" w:rsidRPr="0093625A" w14:paraId="2CB86FBF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7DDE0FED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4</w:t>
            </w:r>
          </w:p>
        </w:tc>
        <w:tc>
          <w:tcPr>
            <w:tcW w:w="1157" w:type="dxa"/>
            <w:shd w:val="clear" w:color="auto" w:fill="F2F2F2"/>
            <w:hideMark/>
          </w:tcPr>
          <w:p w14:paraId="4B15F08E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QPSK</w:t>
            </w:r>
          </w:p>
        </w:tc>
        <w:tc>
          <w:tcPr>
            <w:tcW w:w="622" w:type="dxa"/>
            <w:shd w:val="clear" w:color="auto" w:fill="F2F2F2"/>
          </w:tcPr>
          <w:p w14:paraId="23BA625C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195</w:t>
            </w:r>
          </w:p>
        </w:tc>
        <w:tc>
          <w:tcPr>
            <w:tcW w:w="1096" w:type="dxa"/>
            <w:shd w:val="clear" w:color="auto" w:fill="F2F2F2"/>
          </w:tcPr>
          <w:p w14:paraId="405C370B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</w:tr>
      <w:tr w:rsidR="00BD1435" w:rsidRPr="0093625A" w14:paraId="36B026F8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3AA3C88E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5</w:t>
            </w:r>
          </w:p>
        </w:tc>
        <w:tc>
          <w:tcPr>
            <w:tcW w:w="1157" w:type="dxa"/>
            <w:shd w:val="clear" w:color="auto" w:fill="auto"/>
            <w:hideMark/>
          </w:tcPr>
          <w:p w14:paraId="3851C514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 xml:space="preserve">QPSK </w:t>
            </w:r>
          </w:p>
        </w:tc>
        <w:tc>
          <w:tcPr>
            <w:tcW w:w="622" w:type="dxa"/>
            <w:shd w:val="clear" w:color="auto" w:fill="auto"/>
          </w:tcPr>
          <w:p w14:paraId="340273C5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142</w:t>
            </w:r>
          </w:p>
        </w:tc>
        <w:tc>
          <w:tcPr>
            <w:tcW w:w="1096" w:type="dxa"/>
            <w:shd w:val="clear" w:color="auto" w:fill="auto"/>
          </w:tcPr>
          <w:p w14:paraId="5D202ECC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BD1435" w:rsidRPr="0093625A" w14:paraId="104759B4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1ED3D049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6</w:t>
            </w:r>
          </w:p>
        </w:tc>
        <w:tc>
          <w:tcPr>
            <w:tcW w:w="1157" w:type="dxa"/>
            <w:shd w:val="clear" w:color="auto" w:fill="F2F2F2"/>
            <w:hideMark/>
          </w:tcPr>
          <w:p w14:paraId="3EEA5257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QPSK</w:t>
            </w:r>
          </w:p>
        </w:tc>
        <w:tc>
          <w:tcPr>
            <w:tcW w:w="622" w:type="dxa"/>
            <w:shd w:val="clear" w:color="auto" w:fill="F2F2F2"/>
          </w:tcPr>
          <w:p w14:paraId="3E65BAEF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266</w:t>
            </w:r>
          </w:p>
        </w:tc>
        <w:tc>
          <w:tcPr>
            <w:tcW w:w="1096" w:type="dxa"/>
            <w:shd w:val="clear" w:color="auto" w:fill="F2F2F2"/>
          </w:tcPr>
          <w:p w14:paraId="5FC128CE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BD1435" w:rsidRPr="0093625A" w14:paraId="1AD32BEB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1C491354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7</w:t>
            </w:r>
          </w:p>
        </w:tc>
        <w:tc>
          <w:tcPr>
            <w:tcW w:w="1157" w:type="dxa"/>
            <w:shd w:val="clear" w:color="auto" w:fill="auto"/>
            <w:hideMark/>
          </w:tcPr>
          <w:p w14:paraId="3A773530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 xml:space="preserve">QPSK </w:t>
            </w:r>
          </w:p>
        </w:tc>
        <w:tc>
          <w:tcPr>
            <w:tcW w:w="622" w:type="dxa"/>
            <w:shd w:val="clear" w:color="auto" w:fill="auto"/>
          </w:tcPr>
          <w:p w14:paraId="0A404AB5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453</w:t>
            </w:r>
          </w:p>
        </w:tc>
        <w:tc>
          <w:tcPr>
            <w:tcW w:w="1096" w:type="dxa"/>
            <w:shd w:val="clear" w:color="auto" w:fill="auto"/>
          </w:tcPr>
          <w:p w14:paraId="5F7EB42E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BD1435" w:rsidRPr="0093625A" w14:paraId="62F728D8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32489CBB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8</w:t>
            </w:r>
          </w:p>
        </w:tc>
        <w:tc>
          <w:tcPr>
            <w:tcW w:w="1157" w:type="dxa"/>
            <w:shd w:val="clear" w:color="auto" w:fill="F2F2F2"/>
          </w:tcPr>
          <w:p w14:paraId="26B17AEA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QPSK</w:t>
            </w:r>
          </w:p>
        </w:tc>
        <w:tc>
          <w:tcPr>
            <w:tcW w:w="622" w:type="dxa"/>
            <w:shd w:val="clear" w:color="auto" w:fill="F2F2F2"/>
          </w:tcPr>
          <w:p w14:paraId="01C539B4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637</w:t>
            </w:r>
          </w:p>
        </w:tc>
        <w:tc>
          <w:tcPr>
            <w:tcW w:w="1096" w:type="dxa"/>
            <w:shd w:val="clear" w:color="auto" w:fill="F2F2F2"/>
          </w:tcPr>
          <w:p w14:paraId="064367F0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BD1435" w:rsidRPr="0093625A" w14:paraId="5AA450B8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3EE6E251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9</w:t>
            </w:r>
          </w:p>
        </w:tc>
        <w:tc>
          <w:tcPr>
            <w:tcW w:w="1157" w:type="dxa"/>
            <w:shd w:val="clear" w:color="auto" w:fill="auto"/>
          </w:tcPr>
          <w:p w14:paraId="3A8511A5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16QAM</w:t>
            </w:r>
          </w:p>
        </w:tc>
        <w:tc>
          <w:tcPr>
            <w:tcW w:w="622" w:type="dxa"/>
            <w:shd w:val="clear" w:color="auto" w:fill="auto"/>
          </w:tcPr>
          <w:p w14:paraId="1E02C714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423</w:t>
            </w:r>
          </w:p>
        </w:tc>
        <w:tc>
          <w:tcPr>
            <w:tcW w:w="1096" w:type="dxa"/>
            <w:shd w:val="clear" w:color="auto" w:fill="auto"/>
          </w:tcPr>
          <w:p w14:paraId="6B9BFF76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BD1435" w:rsidRPr="0093625A" w14:paraId="3D6D4AB9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6CB9909C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10</w:t>
            </w:r>
          </w:p>
        </w:tc>
        <w:tc>
          <w:tcPr>
            <w:tcW w:w="1157" w:type="dxa"/>
            <w:shd w:val="clear" w:color="auto" w:fill="F2F2F2"/>
            <w:hideMark/>
          </w:tcPr>
          <w:p w14:paraId="25EDB4D9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 xml:space="preserve">16QAM </w:t>
            </w:r>
          </w:p>
        </w:tc>
        <w:tc>
          <w:tcPr>
            <w:tcW w:w="622" w:type="dxa"/>
            <w:shd w:val="clear" w:color="auto" w:fill="F2F2F2"/>
          </w:tcPr>
          <w:p w14:paraId="2B3FAC32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557</w:t>
            </w:r>
          </w:p>
        </w:tc>
        <w:tc>
          <w:tcPr>
            <w:tcW w:w="1096" w:type="dxa"/>
            <w:shd w:val="clear" w:color="auto" w:fill="F2F2F2"/>
          </w:tcPr>
          <w:p w14:paraId="44BDB8F4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BD1435" w:rsidRPr="0093625A" w14:paraId="7EDF9495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24D86C22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11</w:t>
            </w:r>
          </w:p>
        </w:tc>
        <w:tc>
          <w:tcPr>
            <w:tcW w:w="1157" w:type="dxa"/>
            <w:shd w:val="clear" w:color="auto" w:fill="auto"/>
            <w:hideMark/>
          </w:tcPr>
          <w:p w14:paraId="1DB90E6C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</w:t>
            </w:r>
            <w:r w:rsidRPr="0093625A">
              <w:rPr>
                <w:rFonts w:ascii="Calibri" w:hAnsi="Calibri"/>
              </w:rPr>
              <w:t>QAM</w:t>
            </w:r>
          </w:p>
        </w:tc>
        <w:tc>
          <w:tcPr>
            <w:tcW w:w="622" w:type="dxa"/>
            <w:shd w:val="clear" w:color="auto" w:fill="auto"/>
          </w:tcPr>
          <w:p w14:paraId="5F6B164E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696</w:t>
            </w:r>
          </w:p>
        </w:tc>
        <w:tc>
          <w:tcPr>
            <w:tcW w:w="1096" w:type="dxa"/>
            <w:shd w:val="clear" w:color="auto" w:fill="auto"/>
            <w:hideMark/>
          </w:tcPr>
          <w:p w14:paraId="2A439CB5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1</w:t>
            </w:r>
          </w:p>
        </w:tc>
      </w:tr>
      <w:tr w:rsidR="00BD1435" w:rsidRPr="0093625A" w14:paraId="05F2DF2B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6254073F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12</w:t>
            </w:r>
          </w:p>
        </w:tc>
        <w:tc>
          <w:tcPr>
            <w:tcW w:w="1157" w:type="dxa"/>
            <w:shd w:val="clear" w:color="auto" w:fill="F2F2F2"/>
            <w:hideMark/>
          </w:tcPr>
          <w:p w14:paraId="4CA6E41D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</w:t>
            </w:r>
            <w:r w:rsidRPr="0093625A">
              <w:rPr>
                <w:rFonts w:ascii="Calibri" w:hAnsi="Calibri"/>
              </w:rPr>
              <w:t>QAM</w:t>
            </w:r>
          </w:p>
        </w:tc>
        <w:tc>
          <w:tcPr>
            <w:tcW w:w="622" w:type="dxa"/>
            <w:shd w:val="clear" w:color="auto" w:fill="F2F2F2"/>
          </w:tcPr>
          <w:p w14:paraId="3989F96A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845</w:t>
            </w:r>
          </w:p>
        </w:tc>
        <w:tc>
          <w:tcPr>
            <w:tcW w:w="1096" w:type="dxa"/>
            <w:shd w:val="clear" w:color="auto" w:fill="F2F2F2"/>
            <w:hideMark/>
          </w:tcPr>
          <w:p w14:paraId="7D3218EB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1</w:t>
            </w:r>
          </w:p>
        </w:tc>
      </w:tr>
      <w:tr w:rsidR="00BD1435" w:rsidRPr="0093625A" w14:paraId="00A27797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51682865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13</w:t>
            </w:r>
          </w:p>
        </w:tc>
        <w:tc>
          <w:tcPr>
            <w:tcW w:w="1157" w:type="dxa"/>
            <w:shd w:val="clear" w:color="auto" w:fill="auto"/>
            <w:hideMark/>
          </w:tcPr>
          <w:p w14:paraId="23E2983D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64QAM</w:t>
            </w:r>
          </w:p>
        </w:tc>
        <w:tc>
          <w:tcPr>
            <w:tcW w:w="622" w:type="dxa"/>
            <w:shd w:val="clear" w:color="auto" w:fill="auto"/>
          </w:tcPr>
          <w:p w14:paraId="46F72511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651</w:t>
            </w:r>
          </w:p>
        </w:tc>
        <w:tc>
          <w:tcPr>
            <w:tcW w:w="1096" w:type="dxa"/>
            <w:shd w:val="clear" w:color="auto" w:fill="auto"/>
            <w:hideMark/>
          </w:tcPr>
          <w:p w14:paraId="1255CCE7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1</w:t>
            </w:r>
          </w:p>
        </w:tc>
      </w:tr>
      <w:tr w:rsidR="00BD1435" w:rsidRPr="0093625A" w14:paraId="76AFEFB4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73D27BC6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14</w:t>
            </w:r>
          </w:p>
        </w:tc>
        <w:tc>
          <w:tcPr>
            <w:tcW w:w="1157" w:type="dxa"/>
            <w:shd w:val="clear" w:color="auto" w:fill="F2F2F2"/>
            <w:hideMark/>
          </w:tcPr>
          <w:p w14:paraId="6CE3434E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64QAM</w:t>
            </w:r>
          </w:p>
        </w:tc>
        <w:tc>
          <w:tcPr>
            <w:tcW w:w="622" w:type="dxa"/>
            <w:shd w:val="clear" w:color="auto" w:fill="F2F2F2"/>
          </w:tcPr>
          <w:p w14:paraId="6599EDC3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780</w:t>
            </w:r>
          </w:p>
        </w:tc>
        <w:tc>
          <w:tcPr>
            <w:tcW w:w="1096" w:type="dxa"/>
            <w:shd w:val="clear" w:color="auto" w:fill="F2F2F2"/>
            <w:hideMark/>
          </w:tcPr>
          <w:p w14:paraId="5D43375E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1</w:t>
            </w:r>
          </w:p>
        </w:tc>
      </w:tr>
      <w:tr w:rsidR="00BD1435" w:rsidRPr="0093625A" w14:paraId="3837149D" w14:textId="77777777" w:rsidTr="007D40B8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568BD56F" w14:textId="77777777" w:rsidR="00BD1435" w:rsidRPr="0093625A" w:rsidRDefault="00BD1435" w:rsidP="007D40B8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15</w:t>
            </w:r>
          </w:p>
        </w:tc>
        <w:tc>
          <w:tcPr>
            <w:tcW w:w="1157" w:type="dxa"/>
            <w:shd w:val="clear" w:color="auto" w:fill="auto"/>
            <w:hideMark/>
          </w:tcPr>
          <w:p w14:paraId="4D87E5B4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64QAM</w:t>
            </w:r>
          </w:p>
        </w:tc>
        <w:tc>
          <w:tcPr>
            <w:tcW w:w="622" w:type="dxa"/>
            <w:shd w:val="clear" w:color="auto" w:fill="auto"/>
          </w:tcPr>
          <w:p w14:paraId="7184172F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888</w:t>
            </w:r>
          </w:p>
        </w:tc>
        <w:tc>
          <w:tcPr>
            <w:tcW w:w="1096" w:type="dxa"/>
            <w:shd w:val="clear" w:color="auto" w:fill="auto"/>
            <w:hideMark/>
          </w:tcPr>
          <w:p w14:paraId="737A5C62" w14:textId="77777777" w:rsidR="00BD1435" w:rsidRPr="0093625A" w:rsidRDefault="00BD1435" w:rsidP="007D40B8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1</w:t>
            </w:r>
          </w:p>
        </w:tc>
      </w:tr>
    </w:tbl>
    <w:p w14:paraId="3007D483" w14:textId="0DA0F569" w:rsidR="00BD1435" w:rsidRDefault="00BD1435" w:rsidP="00BD1435">
      <w:pPr>
        <w:rPr>
          <w:lang w:val="en-GB"/>
        </w:rPr>
      </w:pPr>
    </w:p>
    <w:p w14:paraId="72F37DBB" w14:textId="538515E1" w:rsidR="00F37290" w:rsidRDefault="00F37290" w:rsidP="00F37290">
      <w:pPr>
        <w:pStyle w:val="Caption"/>
        <w:rPr>
          <w:lang w:val="en-GB"/>
        </w:rPr>
      </w:pPr>
      <w:bookmarkStart w:id="14" w:name="_Ref513482056"/>
      <w:r>
        <w:t xml:space="preserve">Table </w:t>
      </w:r>
      <w:r w:rsidR="00665030">
        <w:fldChar w:fldCharType="begin"/>
      </w:r>
      <w:r w:rsidR="00665030">
        <w:instrText xml:space="preserve"> SEQ Table \* ARABIC </w:instrText>
      </w:r>
      <w:r w:rsidR="00665030">
        <w:fldChar w:fldCharType="separate"/>
      </w:r>
      <w:r>
        <w:rPr>
          <w:noProof/>
        </w:rPr>
        <w:t>2</w:t>
      </w:r>
      <w:r w:rsidR="00665030">
        <w:rPr>
          <w:noProof/>
        </w:rPr>
        <w:fldChar w:fldCharType="end"/>
      </w:r>
      <w:bookmarkEnd w:id="14"/>
      <w:r>
        <w:tab/>
        <w:t xml:space="preserve">CQI table </w:t>
      </w:r>
      <w:r w:rsidR="008A6C4E">
        <w:t>supporting 64QAM.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402"/>
        <w:gridCol w:w="1761"/>
        <w:gridCol w:w="1231"/>
      </w:tblGrid>
      <w:tr w:rsidR="00F37290" w:rsidRPr="006A4258" w14:paraId="26A1C270" w14:textId="77777777" w:rsidTr="00B66C55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BDCAA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b/>
                <w:lang w:eastAsia="en-GB"/>
              </w:rPr>
            </w:pPr>
            <w:r w:rsidRPr="006A4258">
              <w:rPr>
                <w:rFonts w:ascii="Arial" w:hAnsi="Arial" w:cs="Arial"/>
                <w:b/>
                <w:lang w:eastAsia="en-GB"/>
              </w:rPr>
              <w:t>CQI index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D340E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b/>
                <w:lang w:eastAsia="en-GB"/>
              </w:rPr>
            </w:pPr>
            <w:r w:rsidRPr="006A4258">
              <w:rPr>
                <w:rFonts w:ascii="Arial" w:hAnsi="Arial" w:cs="Arial"/>
                <w:b/>
                <w:lang w:eastAsia="en-GB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2F62B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6A4258">
              <w:rPr>
                <w:rFonts w:ascii="Arial" w:hAnsi="Arial" w:cs="Arial"/>
                <w:b/>
                <w:lang w:eastAsia="en-GB"/>
              </w:rPr>
              <w:t>code rate x 1024</w:t>
            </w:r>
            <w:r w:rsidRPr="006A4258">
              <w:rPr>
                <w:rFonts w:ascii="Arial" w:eastAsia="SimSun" w:hAnsi="Arial" w:cs="Arial"/>
                <w:b/>
                <w:lang w:eastAsia="zh-CN"/>
              </w:rPr>
              <w:t xml:space="preserve"> </w:t>
            </w:r>
            <w:r w:rsidRPr="006A4258">
              <w:rPr>
                <w:rFonts w:ascii="Arial" w:hAnsi="Arial" w:cs="Arial"/>
                <w:b/>
                <w:lang w:eastAsia="en-GB"/>
              </w:rPr>
              <w:t>x</w:t>
            </w:r>
            <w:r w:rsidRPr="006A4258">
              <w:rPr>
                <w:rFonts w:ascii="Arial" w:eastAsia="SimSun" w:hAnsi="Arial" w:cs="Arial"/>
                <w:b/>
                <w:lang w:eastAsia="zh-CN"/>
              </w:rPr>
              <w:t xml:space="preserve"> </w:t>
            </w:r>
            <w:r w:rsidR="00665030">
              <w:rPr>
                <w:rFonts w:ascii="Arial" w:hAnsi="Arial" w:cs="Arial"/>
                <w:position w:val="-14"/>
                <w:lang w:eastAsia="en-GB"/>
              </w:rPr>
              <w:pict w14:anchorId="439A7B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20.25pt" fillcolor="window">
                  <v:imagedata r:id="rId9" o:title=""/>
                </v:shape>
              </w:pic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ABDD7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b/>
                <w:lang w:eastAsia="en-GB"/>
              </w:rPr>
            </w:pPr>
            <w:r w:rsidRPr="006A4258">
              <w:rPr>
                <w:rFonts w:ascii="Arial" w:hAnsi="Arial" w:cs="Arial"/>
                <w:b/>
                <w:lang w:eastAsia="en-GB"/>
              </w:rPr>
              <w:t>efficiency x</w:t>
            </w:r>
            <w:r w:rsidRPr="006A4258">
              <w:rPr>
                <w:rFonts w:ascii="Arial" w:hAnsi="Arial" w:cs="Arial"/>
                <w:b/>
                <w:lang w:eastAsia="zh-CN"/>
              </w:rPr>
              <w:t xml:space="preserve"> </w:t>
            </w:r>
            <w:r w:rsidR="00665030">
              <w:rPr>
                <w:rFonts w:ascii="Arial" w:hAnsi="Arial" w:cs="Arial"/>
                <w:position w:val="-14"/>
                <w:lang w:eastAsia="en-GB"/>
              </w:rPr>
              <w:pict w14:anchorId="189180EE">
                <v:shape id="_x0000_i1026" type="#_x0000_t75" style="width:24pt;height:20.25pt" fillcolor="window">
                  <v:imagedata r:id="rId9" o:title=""/>
                </v:shape>
              </w:pict>
            </w:r>
          </w:p>
        </w:tc>
      </w:tr>
      <w:tr w:rsidR="00F37290" w:rsidRPr="006A4258" w14:paraId="28A8469B" w14:textId="77777777" w:rsidTr="00B66C55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D1AA8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0</w:t>
            </w:r>
          </w:p>
        </w:tc>
        <w:tc>
          <w:tcPr>
            <w:tcW w:w="41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5BF2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out of range</w:t>
            </w:r>
          </w:p>
        </w:tc>
      </w:tr>
      <w:tr w:rsidR="00F37290" w:rsidRPr="006A4258" w14:paraId="7FE94A66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96D2B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E1B0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F952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4BD90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0.0781</w:t>
            </w:r>
          </w:p>
        </w:tc>
      </w:tr>
      <w:tr w:rsidR="00F37290" w:rsidRPr="006A4258" w14:paraId="13D0F3B1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2C75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52A8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5BBD1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31107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0.1523</w:t>
            </w:r>
          </w:p>
        </w:tc>
      </w:tr>
      <w:tr w:rsidR="00F37290" w:rsidRPr="006A4258" w14:paraId="2DCA514F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17EFA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2711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4A6BF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120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B29F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0.2344</w:t>
            </w:r>
          </w:p>
        </w:tc>
      </w:tr>
      <w:tr w:rsidR="00F37290" w:rsidRPr="006A4258" w14:paraId="3D22326F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E0B7B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47F9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4F094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193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1E6D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0.3770</w:t>
            </w:r>
          </w:p>
        </w:tc>
      </w:tr>
      <w:tr w:rsidR="00F37290" w:rsidRPr="006A4258" w14:paraId="7FA0E138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5A975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2E53D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1390A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308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61358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0.6016</w:t>
            </w:r>
          </w:p>
        </w:tc>
      </w:tr>
      <w:tr w:rsidR="00F37290" w:rsidRPr="006A4258" w14:paraId="256CEC40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D21C5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5694A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53D36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449</w:t>
            </w:r>
          </w:p>
        </w:tc>
        <w:tc>
          <w:tcPr>
            <w:tcW w:w="1139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A07DF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0.8770</w:t>
            </w:r>
          </w:p>
        </w:tc>
      </w:tr>
      <w:tr w:rsidR="00F37290" w:rsidRPr="006A4258" w14:paraId="488F361B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1F00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23558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52B7D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602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22EEE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1.1758</w:t>
            </w:r>
          </w:p>
        </w:tc>
      </w:tr>
      <w:tr w:rsidR="00F37290" w:rsidRPr="006A4258" w14:paraId="0FBCD788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B74E3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0274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eastAsia="SimSun" w:hAnsi="Arial" w:cs="Arial"/>
                <w:lang w:eastAsia="zh-CN"/>
              </w:rPr>
              <w:t>16</w:t>
            </w:r>
            <w:r w:rsidRPr="006A4258">
              <w:rPr>
                <w:rFonts w:ascii="Arial" w:hAnsi="Arial" w:cs="Arial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AFBC0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378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8C5E6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1.4766</w:t>
            </w:r>
          </w:p>
        </w:tc>
      </w:tr>
      <w:tr w:rsidR="00F37290" w:rsidRPr="006A4258" w14:paraId="2935D314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5411D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9</w:t>
            </w: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FE508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eastAsia="SimSun" w:hAnsi="Arial" w:cs="Arial"/>
                <w:lang w:eastAsia="zh-CN"/>
              </w:rPr>
              <w:t>16</w:t>
            </w:r>
            <w:r w:rsidRPr="006A4258">
              <w:rPr>
                <w:rFonts w:ascii="Arial" w:hAnsi="Arial" w:cs="Arial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2222C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490</w:t>
            </w:r>
          </w:p>
        </w:tc>
        <w:tc>
          <w:tcPr>
            <w:tcW w:w="1139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5C9A7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1.9141</w:t>
            </w:r>
          </w:p>
        </w:tc>
      </w:tr>
      <w:tr w:rsidR="00F37290" w:rsidRPr="006A4258" w14:paraId="06E49B60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F5DB7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AF8D7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eastAsia="SimSun" w:hAnsi="Arial" w:cs="Arial"/>
                <w:lang w:eastAsia="zh-CN"/>
              </w:rPr>
              <w:t>16</w:t>
            </w:r>
            <w:r w:rsidRPr="006A4258">
              <w:rPr>
                <w:rFonts w:ascii="Arial" w:hAnsi="Arial" w:cs="Arial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93542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616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D070F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2.4063</w:t>
            </w:r>
          </w:p>
        </w:tc>
      </w:tr>
      <w:tr w:rsidR="00F37290" w:rsidRPr="006A4258" w14:paraId="74714BA5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96BF3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F3FC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2F8EA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466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1834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2.7305</w:t>
            </w:r>
          </w:p>
        </w:tc>
      </w:tr>
      <w:tr w:rsidR="00F37290" w:rsidRPr="006A4258" w14:paraId="78072BEF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FE118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B1BC8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574C3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567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D4404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3.3223</w:t>
            </w:r>
          </w:p>
        </w:tc>
      </w:tr>
      <w:tr w:rsidR="00F37290" w:rsidRPr="006A4258" w14:paraId="05949DB7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D71E6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76AFB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004A2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666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B8CF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3.9023</w:t>
            </w:r>
          </w:p>
        </w:tc>
      </w:tr>
      <w:tr w:rsidR="00F37290" w:rsidRPr="006A4258" w14:paraId="1A3C6AE3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33805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8D6AF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0BA43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772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66925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4.5234</w:t>
            </w:r>
          </w:p>
        </w:tc>
      </w:tr>
      <w:tr w:rsidR="00F37290" w:rsidRPr="006A4258" w14:paraId="628557DC" w14:textId="77777777" w:rsidTr="00B66C5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5405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CF738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4EA0D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873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3ABDF" w14:textId="77777777" w:rsidR="00F37290" w:rsidRPr="006A4258" w:rsidRDefault="00F37290" w:rsidP="00B66C55">
            <w:pPr>
              <w:keepNext/>
              <w:keepLines/>
              <w:jc w:val="center"/>
              <w:rPr>
                <w:rFonts w:ascii="Arial" w:hAnsi="Arial" w:cs="Arial"/>
                <w:lang w:eastAsia="en-GB"/>
              </w:rPr>
            </w:pPr>
            <w:r w:rsidRPr="006A4258">
              <w:rPr>
                <w:rFonts w:ascii="Arial" w:hAnsi="Arial" w:cs="Arial"/>
                <w:lang w:eastAsia="en-GB"/>
              </w:rPr>
              <w:t>5.1152</w:t>
            </w:r>
          </w:p>
        </w:tc>
      </w:tr>
    </w:tbl>
    <w:p w14:paraId="296AC911" w14:textId="77777777" w:rsidR="00F37290" w:rsidRPr="00BD1435" w:rsidRDefault="00F37290" w:rsidP="00BD1435">
      <w:pPr>
        <w:rPr>
          <w:lang w:val="en-GB"/>
        </w:rPr>
      </w:pPr>
    </w:p>
    <w:sectPr w:rsidR="00F37290" w:rsidRPr="00BD1435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2002CD" w:rsidRDefault="002002CD">
      <w:pPr>
        <w:spacing w:after="0"/>
      </w:pPr>
      <w:r>
        <w:separator/>
      </w:r>
    </w:p>
  </w:endnote>
  <w:endnote w:type="continuationSeparator" w:id="0">
    <w:p w14:paraId="72DCA1F7" w14:textId="77777777" w:rsidR="002002CD" w:rsidRDefault="002002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262ED410" w:rsidR="002002CD" w:rsidRDefault="002002C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65030">
      <w:t>3</w:t>
    </w:r>
    <w:r>
      <w:fldChar w:fldCharType="end"/>
    </w:r>
  </w:p>
  <w:p w14:paraId="645DF157" w14:textId="77777777" w:rsidR="002002CD" w:rsidRDefault="002002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2002CD" w:rsidRDefault="002002CD">
      <w:pPr>
        <w:spacing w:after="0"/>
      </w:pPr>
      <w:r>
        <w:separator/>
      </w:r>
    </w:p>
  </w:footnote>
  <w:footnote w:type="continuationSeparator" w:id="0">
    <w:p w14:paraId="68B1FF00" w14:textId="77777777" w:rsidR="002002CD" w:rsidRDefault="002002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02CD" w:rsidRDefault="002002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91393"/>
    <w:multiLevelType w:val="hybridMultilevel"/>
    <w:tmpl w:val="CFDA803A"/>
    <w:lvl w:ilvl="0" w:tplc="7EF884F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796"/>
    <w:multiLevelType w:val="hybridMultilevel"/>
    <w:tmpl w:val="AF028D50"/>
    <w:lvl w:ilvl="0" w:tplc="9DFC6B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58D0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ECD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6D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ABE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07A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42C2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E86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8E96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71485"/>
    <w:multiLevelType w:val="hybridMultilevel"/>
    <w:tmpl w:val="B9D6C2D8"/>
    <w:lvl w:ilvl="0" w:tplc="92F654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69A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A4E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D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27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E76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0FD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4E5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829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32AF9"/>
    <w:multiLevelType w:val="hybridMultilevel"/>
    <w:tmpl w:val="85B86054"/>
    <w:lvl w:ilvl="0" w:tplc="823E22E8">
      <w:start w:val="1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11"/>
  </w:num>
  <w:num w:numId="5">
    <w:abstractNumId w:val="7"/>
  </w:num>
  <w:num w:numId="6">
    <w:abstractNumId w:val="20"/>
  </w:num>
  <w:num w:numId="7">
    <w:abstractNumId w:val="0"/>
  </w:num>
  <w:num w:numId="8">
    <w:abstractNumId w:val="2"/>
  </w:num>
  <w:num w:numId="9">
    <w:abstractNumId w:val="16"/>
  </w:num>
  <w:num w:numId="10">
    <w:abstractNumId w:val="13"/>
  </w:num>
  <w:num w:numId="11">
    <w:abstractNumId w:val="21"/>
  </w:num>
  <w:num w:numId="12">
    <w:abstractNumId w:val="15"/>
  </w:num>
  <w:num w:numId="13">
    <w:abstractNumId w:val="18"/>
  </w:num>
  <w:num w:numId="14">
    <w:abstractNumId w:val="3"/>
  </w:num>
  <w:num w:numId="15">
    <w:abstractNumId w:val="9"/>
  </w:num>
  <w:num w:numId="16">
    <w:abstractNumId w:val="10"/>
  </w:num>
  <w:num w:numId="17">
    <w:abstractNumId w:val="6"/>
  </w:num>
  <w:num w:numId="18">
    <w:abstractNumId w:val="17"/>
  </w:num>
  <w:num w:numId="19">
    <w:abstractNumId w:val="4"/>
  </w:num>
  <w:num w:numId="20">
    <w:abstractNumId w:val="14"/>
  </w:num>
  <w:num w:numId="21">
    <w:abstractNumId w:val="5"/>
  </w:num>
  <w:num w:numId="22">
    <w:abstractNumId w:val="1"/>
  </w:num>
  <w:num w:numId="2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4EF1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5FD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43FC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4A7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4E35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65F"/>
    <w:rsid w:val="00173B1E"/>
    <w:rsid w:val="00173DB5"/>
    <w:rsid w:val="00174F8B"/>
    <w:rsid w:val="001751CC"/>
    <w:rsid w:val="00175577"/>
    <w:rsid w:val="00175723"/>
    <w:rsid w:val="00177DDF"/>
    <w:rsid w:val="00177E54"/>
    <w:rsid w:val="00180C36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9D1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2CD"/>
    <w:rsid w:val="0020057C"/>
    <w:rsid w:val="00200845"/>
    <w:rsid w:val="0020109B"/>
    <w:rsid w:val="002016D0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6AA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569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0B8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06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3B0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8CE"/>
    <w:rsid w:val="002C1958"/>
    <w:rsid w:val="002C1AAB"/>
    <w:rsid w:val="002C28AC"/>
    <w:rsid w:val="002C2E4F"/>
    <w:rsid w:val="002C45EB"/>
    <w:rsid w:val="002C4A53"/>
    <w:rsid w:val="002C4C83"/>
    <w:rsid w:val="002C5571"/>
    <w:rsid w:val="002C56E0"/>
    <w:rsid w:val="002C5EB5"/>
    <w:rsid w:val="002C65C4"/>
    <w:rsid w:val="002C6B21"/>
    <w:rsid w:val="002C6E50"/>
    <w:rsid w:val="002C6F78"/>
    <w:rsid w:val="002C7DD7"/>
    <w:rsid w:val="002C7F6B"/>
    <w:rsid w:val="002C7FE0"/>
    <w:rsid w:val="002D0D3F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4E6E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61E"/>
    <w:rsid w:val="003A6F7F"/>
    <w:rsid w:val="003B00D8"/>
    <w:rsid w:val="003B059E"/>
    <w:rsid w:val="003B15BC"/>
    <w:rsid w:val="003B1B6B"/>
    <w:rsid w:val="003B24B7"/>
    <w:rsid w:val="003B26AE"/>
    <w:rsid w:val="003B30D9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0E39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A6A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2E6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F54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4997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CD3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5804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EF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6C96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33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3C4"/>
    <w:rsid w:val="005F358C"/>
    <w:rsid w:val="005F3B42"/>
    <w:rsid w:val="005F3E29"/>
    <w:rsid w:val="005F4266"/>
    <w:rsid w:val="005F46C0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34C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0D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030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B4A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FB1"/>
    <w:rsid w:val="006A482E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984"/>
    <w:rsid w:val="006F5D0D"/>
    <w:rsid w:val="007016D4"/>
    <w:rsid w:val="00701A77"/>
    <w:rsid w:val="00701BFE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39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7F1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0B8B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1A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0B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8F5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38F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6FD8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C4E"/>
    <w:rsid w:val="008A6F0E"/>
    <w:rsid w:val="008A7398"/>
    <w:rsid w:val="008A74F3"/>
    <w:rsid w:val="008A7560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6B9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0E5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C26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1B0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0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E42"/>
    <w:rsid w:val="00A437D4"/>
    <w:rsid w:val="00A44928"/>
    <w:rsid w:val="00A46650"/>
    <w:rsid w:val="00A46A16"/>
    <w:rsid w:val="00A46CDE"/>
    <w:rsid w:val="00A473A2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131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5F50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7B2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32D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AFB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6C55"/>
    <w:rsid w:val="00B703D1"/>
    <w:rsid w:val="00B703EE"/>
    <w:rsid w:val="00B705FB"/>
    <w:rsid w:val="00B70E93"/>
    <w:rsid w:val="00B7101F"/>
    <w:rsid w:val="00B715B4"/>
    <w:rsid w:val="00B71D81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426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0EDC"/>
    <w:rsid w:val="00BD1435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4C40"/>
    <w:rsid w:val="00C3501A"/>
    <w:rsid w:val="00C3683E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E9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A04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1B2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1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3E8D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F0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1C9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924"/>
    <w:rsid w:val="00EB37E3"/>
    <w:rsid w:val="00EB48EE"/>
    <w:rsid w:val="00EB55A8"/>
    <w:rsid w:val="00EB5D8C"/>
    <w:rsid w:val="00EB5F35"/>
    <w:rsid w:val="00EB6677"/>
    <w:rsid w:val="00EB7271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BD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90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3A"/>
    <w:rsid w:val="00FA4978"/>
    <w:rsid w:val="00FA50C7"/>
    <w:rsid w:val="00FA5952"/>
    <w:rsid w:val="00FA5D72"/>
    <w:rsid w:val="00FA5E3D"/>
    <w:rsid w:val="00FA5FCA"/>
    <w:rsid w:val="00FA5FD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6C96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6C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6C9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AA07B2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0673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938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40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191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91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7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6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696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33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19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928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66019BA-B425-4700-821D-1C01987FE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1132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2018-05-14T11:56:00Z</dcterms:modified>
</cp:coreProperties>
</file>